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5F" w:rsidRPr="00CE0170" w:rsidRDefault="0062255F" w:rsidP="0062255F">
      <w:pPr>
        <w:keepNext/>
        <w:spacing w:before="120" w:after="120" w:line="240" w:lineRule="auto"/>
        <w:jc w:val="center"/>
        <w:outlineLvl w:val="0"/>
        <w:rPr>
          <w:rFonts w:ascii="Arial" w:eastAsia="Times New Roman" w:hAnsi="Arial" w:cs="Arial"/>
          <w:b/>
          <w:caps/>
          <w:kern w:val="28"/>
          <w:sz w:val="36"/>
          <w:szCs w:val="36"/>
        </w:rPr>
      </w:pPr>
      <w:bookmarkStart w:id="0" w:name="_GoBack"/>
      <w:bookmarkEnd w:id="0"/>
      <w:r>
        <w:rPr>
          <w:rFonts w:ascii="Arial" w:eastAsia="Times New Roman" w:hAnsi="Arial" w:cs="Arial"/>
          <w:b/>
          <w:caps/>
          <w:kern w:val="28"/>
          <w:sz w:val="36"/>
          <w:szCs w:val="36"/>
        </w:rPr>
        <w:t>Hilton chapter 7</w:t>
      </w:r>
    </w:p>
    <w:p w:rsidR="0062255F" w:rsidRPr="00CE0170" w:rsidRDefault="0062255F" w:rsidP="0062255F">
      <w:pPr>
        <w:spacing w:after="0" w:line="240" w:lineRule="auto"/>
        <w:jc w:val="center"/>
        <w:rPr>
          <w:rFonts w:ascii="Arial" w:eastAsia="Times New Roman" w:hAnsi="Arial" w:cs="Arial"/>
          <w:b/>
          <w:sz w:val="36"/>
          <w:szCs w:val="36"/>
        </w:rPr>
      </w:pPr>
      <w:r w:rsidRPr="00CE0170">
        <w:rPr>
          <w:rFonts w:ascii="Arial" w:eastAsia="Times New Roman" w:hAnsi="Arial" w:cs="Arial"/>
          <w:b/>
          <w:sz w:val="36"/>
          <w:szCs w:val="36"/>
        </w:rPr>
        <w:t>Answers to Assigned End of Chapter Exercises, Problems, Cases</w:t>
      </w:r>
    </w:p>
    <w:p w:rsidR="0062255F" w:rsidRDefault="0062255F" w:rsidP="0062255F">
      <w:pPr>
        <w:pStyle w:val="Heading1"/>
      </w:pPr>
    </w:p>
    <w:p w:rsidR="0062255F" w:rsidRDefault="0062255F" w:rsidP="0062255F">
      <w:pPr>
        <w:pStyle w:val="Heading1"/>
      </w:pPr>
      <w:r>
        <w:t xml:space="preserve">Answers to Review Questions     </w:t>
      </w:r>
    </w:p>
    <w:p w:rsidR="0062255F" w:rsidRDefault="0062255F" w:rsidP="0062255F">
      <w:pPr>
        <w:pStyle w:val="Heading1"/>
      </w:pPr>
      <w:r>
        <w:t xml:space="preserve">     </w:t>
      </w:r>
    </w:p>
    <w:p w:rsidR="0062255F" w:rsidRDefault="0062255F" w:rsidP="0062255F">
      <w:pPr>
        <w:pStyle w:val="Outline1"/>
        <w:ind w:left="1080" w:hanging="1080"/>
      </w:pPr>
      <w:r>
        <w:t>7-1</w:t>
      </w:r>
      <w:r>
        <w:tab/>
        <w:t>a.</w:t>
      </w:r>
      <w:r>
        <w:tab/>
        <w:t>In the contribution-margin approach, the break-even point in units is calculated using the following formula:</w:t>
      </w:r>
    </w:p>
    <w:p w:rsidR="0062255F" w:rsidRDefault="0062255F" w:rsidP="0062255F">
      <w:pPr>
        <w:pStyle w:val="Outline3"/>
      </w:pPr>
      <w:r>
        <w:rPr>
          <w:position w:val="-30"/>
        </w:rPr>
        <w:object w:dxaOrig="4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6pt" o:ole="" fillcolor="window">
            <v:imagedata r:id="rId6" o:title=""/>
          </v:shape>
          <o:OLEObject Type="Embed" ProgID="Equation.3" ShapeID="_x0000_i1025" DrawAspect="Content" ObjectID="_1479202904" r:id="rId7"/>
        </w:object>
      </w:r>
    </w:p>
    <w:p w:rsidR="0062255F" w:rsidRDefault="0062255F" w:rsidP="0062255F">
      <w:pPr>
        <w:pStyle w:val="Outline2"/>
        <w:numPr>
          <w:ilvl w:val="0"/>
          <w:numId w:val="1"/>
        </w:numPr>
      </w:pPr>
      <w:r>
        <w:t>In the equation approach, the following profit equation is used:</w:t>
      </w:r>
    </w:p>
    <w:tbl>
      <w:tblPr>
        <w:tblW w:w="0" w:type="auto"/>
        <w:tblInd w:w="1008" w:type="dxa"/>
        <w:tblLayout w:type="fixed"/>
        <w:tblCellMar>
          <w:left w:w="0" w:type="dxa"/>
          <w:right w:w="0" w:type="dxa"/>
        </w:tblCellMar>
        <w:tblLook w:val="04A0" w:firstRow="1" w:lastRow="0" w:firstColumn="1" w:lastColumn="0" w:noHBand="0" w:noVBand="1"/>
      </w:tblPr>
      <w:tblGrid>
        <w:gridCol w:w="6822"/>
        <w:gridCol w:w="1080"/>
        <w:gridCol w:w="666"/>
      </w:tblGrid>
      <w:tr w:rsidR="0062255F" w:rsidTr="0062255F">
        <w:tc>
          <w:tcPr>
            <w:tcW w:w="6822" w:type="dxa"/>
            <w:hideMark/>
          </w:tcPr>
          <w:p w:rsidR="0062255F" w:rsidRDefault="0062255F">
            <w:pPr>
              <w:pStyle w:val="Outline2"/>
              <w:tabs>
                <w:tab w:val="clear" w:pos="1080"/>
              </w:tabs>
              <w:ind w:left="0" w:firstLine="0"/>
            </w:pPr>
            <w:r>
              <w:rPr>
                <w:position w:val="-32"/>
              </w:rPr>
              <w:object w:dxaOrig="6795" w:dyaOrig="765">
                <v:shape id="_x0000_i1026" type="#_x0000_t75" style="width:339.75pt;height:38.25pt" o:ole="" fillcolor="window">
                  <v:imagedata r:id="rId8" o:title=""/>
                </v:shape>
                <o:OLEObject Type="Embed" ProgID="Equation.3" ShapeID="_x0000_i1026" DrawAspect="Content" ObjectID="_1479202905" r:id="rId9"/>
              </w:object>
            </w:r>
          </w:p>
        </w:tc>
        <w:tc>
          <w:tcPr>
            <w:tcW w:w="1080" w:type="dxa"/>
            <w:hideMark/>
          </w:tcPr>
          <w:p w:rsidR="0062255F" w:rsidRDefault="0062255F">
            <w:pPr>
              <w:pStyle w:val="Outline2"/>
              <w:tabs>
                <w:tab w:val="clear" w:pos="1080"/>
              </w:tabs>
              <w:spacing w:before="180" w:after="0"/>
              <w:ind w:left="0" w:firstLine="0"/>
              <w:jc w:val="center"/>
            </w:pPr>
            <w:r>
              <w:t>fixed expenses</w:t>
            </w:r>
          </w:p>
        </w:tc>
        <w:tc>
          <w:tcPr>
            <w:tcW w:w="666" w:type="dxa"/>
            <w:hideMark/>
          </w:tcPr>
          <w:p w:rsidR="0062255F" w:rsidRDefault="0062255F">
            <w:pPr>
              <w:pStyle w:val="Outline2"/>
              <w:tabs>
                <w:tab w:val="clear" w:pos="1080"/>
              </w:tabs>
              <w:spacing w:before="360" w:after="0"/>
              <w:ind w:left="0" w:firstLine="0"/>
            </w:pPr>
            <w:r>
              <w:rPr>
                <w:position w:val="-6"/>
              </w:rPr>
              <w:object w:dxaOrig="435" w:dyaOrig="300">
                <v:shape id="_x0000_i1027" type="#_x0000_t75" style="width:21.75pt;height:15pt" o:ole="" fillcolor="window">
                  <v:imagedata r:id="rId10" o:title=""/>
                </v:shape>
                <o:OLEObject Type="Embed" ProgID="Equation.3" ShapeID="_x0000_i1027" DrawAspect="Content" ObjectID="_1479202906" r:id="rId11"/>
              </w:object>
            </w:r>
          </w:p>
        </w:tc>
      </w:tr>
    </w:tbl>
    <w:p w:rsidR="0062255F" w:rsidRDefault="0062255F" w:rsidP="0062255F">
      <w:pPr>
        <w:pStyle w:val="Outline3"/>
      </w:pPr>
      <w:r>
        <w:t>This equation is solved for the sales volume in units.</w:t>
      </w:r>
    </w:p>
    <w:p w:rsidR="0062255F" w:rsidRDefault="0062255F" w:rsidP="0062255F">
      <w:pPr>
        <w:pStyle w:val="Outline2"/>
      </w:pPr>
      <w:r>
        <w:t>c.</w:t>
      </w:r>
      <w:r>
        <w:tab/>
        <w:t>In the graphical approach, sales revenue and total expenses are graphed. The break-even point occurs at the intersection of the total revenue and total expense lines.</w:t>
      </w:r>
    </w:p>
    <w:p w:rsidR="0062255F" w:rsidRDefault="0062255F" w:rsidP="0062255F">
      <w:pPr>
        <w:pStyle w:val="Outline1"/>
      </w:pPr>
      <w:r>
        <w:t>7-2</w:t>
      </w:r>
      <w:r>
        <w:tab/>
        <w:t xml:space="preserve">The term </w:t>
      </w:r>
      <w:r>
        <w:rPr>
          <w:i/>
        </w:rPr>
        <w:t>unit contribution margin</w:t>
      </w:r>
      <w:r>
        <w:t xml:space="preserve"> refers to the contribution that each unit of sales makes toward covering fixed expenses and earning a profit. The unit contribution margin is defined as the sales price minus the unit variable expense.</w:t>
      </w:r>
    </w:p>
    <w:p w:rsidR="0062255F" w:rsidRDefault="0062255F" w:rsidP="0062255F">
      <w:pPr>
        <w:pStyle w:val="Outline1"/>
      </w:pPr>
      <w:r>
        <w:t>7-3</w:t>
      </w:r>
      <w:r>
        <w:tab/>
        <w:t>In addition to the break-even point, a CVP graph shows the impact on total expenses, total revenue, and profit when sales volume changes. The graph shows the sales volume required to earn a particular target net profit. The firm's profit and loss areas are also indicated on a CVP graph.</w:t>
      </w:r>
    </w:p>
    <w:p w:rsidR="0062255F" w:rsidRDefault="0062255F" w:rsidP="0062255F">
      <w:pPr>
        <w:pStyle w:val="Outline1"/>
      </w:pPr>
      <w:r>
        <w:t>7-4</w:t>
      </w:r>
      <w:r>
        <w:tab/>
        <w:t>The safety margin is the amount by which budgeted sales revenue exceeds break-even sales revenue.</w:t>
      </w:r>
    </w:p>
    <w:p w:rsidR="0062255F" w:rsidRDefault="0062255F" w:rsidP="0062255F">
      <w:pPr>
        <w:pStyle w:val="Outline1"/>
      </w:pPr>
      <w:r>
        <w:t>7-5</w:t>
      </w:r>
      <w:r>
        <w:tab/>
        <w:t>An increase in the fixed expenses of any enterprise will increase its break-even point. In a travel agency, more clients must be served before the fixed expenses are covered by the agency's service fees.</w:t>
      </w:r>
    </w:p>
    <w:p w:rsidR="0062255F" w:rsidRDefault="0062255F" w:rsidP="0062255F">
      <w:pPr>
        <w:pStyle w:val="Outline1"/>
      </w:pPr>
      <w:r>
        <w:t>7-6</w:t>
      </w:r>
      <w:r>
        <w:tab/>
        <w:t>A decrease in the variable expense per pound of oysters results in an increase in the contribution margin per pound. This will reduce the company's break-even sales volume.</w:t>
      </w:r>
    </w:p>
    <w:p w:rsidR="0062255F" w:rsidRDefault="0062255F" w:rsidP="0062255F">
      <w:pPr>
        <w:pStyle w:val="Outline1"/>
      </w:pPr>
      <w:r>
        <w:lastRenderedPageBreak/>
        <w:t>7-7</w:t>
      </w:r>
      <w:r>
        <w:tab/>
        <w:t>The president is correct. A price increase results in a higher unit contribution margin. An increase in the unit contribution margin causes the break-even point to decline.</w:t>
      </w:r>
    </w:p>
    <w:p w:rsidR="0062255F" w:rsidRDefault="0062255F" w:rsidP="0062255F">
      <w:pPr>
        <w:pStyle w:val="Outline1"/>
      </w:pPr>
      <w:r>
        <w:tab/>
      </w:r>
      <w:r>
        <w:tab/>
        <w:t>The financial vice president's reasoning is flawed. Even though the break-even point will be lower, the price increase will not necessarily reduce the likelihood of a loss. Customers will probably be less likely to buy the product at a higher price. Thus, the firm may be less likely to meet the lower break-even point (at a high price) than the higher break-even point (at a low price).</w:t>
      </w:r>
    </w:p>
    <w:p w:rsidR="0062255F" w:rsidRDefault="0062255F" w:rsidP="0062255F">
      <w:pPr>
        <w:pStyle w:val="Outline1"/>
      </w:pPr>
      <w:r>
        <w:t>7-8</w:t>
      </w:r>
      <w:r>
        <w:tab/>
        <w:t>When the sales price and unit variable cost increase by the same amount, the unit contribution margin remains unchanged. Therefore, the firm's break-even point remains the same.</w:t>
      </w:r>
    </w:p>
    <w:p w:rsidR="0062255F" w:rsidRDefault="0062255F" w:rsidP="0062255F">
      <w:pPr>
        <w:pStyle w:val="Outline1"/>
      </w:pPr>
      <w:r>
        <w:t>7-9</w:t>
      </w:r>
      <w:r>
        <w:tab/>
        <w:t>The fixed annual donation will offset some of the museum's fixed expenses. The reduction in net fixed expenses will reduce the museum's break-even point.</w:t>
      </w:r>
    </w:p>
    <w:p w:rsidR="0062255F" w:rsidRDefault="0062255F" w:rsidP="0062255F">
      <w:pPr>
        <w:pStyle w:val="Outline1"/>
      </w:pPr>
      <w:r>
        <w:t>7-10</w:t>
      </w:r>
      <w:r>
        <w:tab/>
        <w:t xml:space="preserve">A profit-volume </w:t>
      </w:r>
      <w:proofErr w:type="gramStart"/>
      <w:r>
        <w:t>graph</w:t>
      </w:r>
      <w:proofErr w:type="gramEnd"/>
      <w:r>
        <w:t xml:space="preserve"> shows the profit to be earned at each level of sales volume.</w:t>
      </w:r>
    </w:p>
    <w:p w:rsidR="0062255F" w:rsidRDefault="0062255F" w:rsidP="0062255F">
      <w:pPr>
        <w:pStyle w:val="Outline1"/>
      </w:pPr>
      <w:r>
        <w:t>7-11</w:t>
      </w:r>
      <w:r>
        <w:tab/>
        <w:t>The most important assumptions of a cost-volume-profit analysis are as follows:</w:t>
      </w:r>
    </w:p>
    <w:p w:rsidR="0062255F" w:rsidRDefault="0062255F" w:rsidP="0062255F">
      <w:pPr>
        <w:pStyle w:val="Outline2"/>
      </w:pPr>
      <w:r>
        <w:t>(a)</w:t>
      </w:r>
      <w:r>
        <w:tab/>
        <w:t>The behavior of total revenue is linear (straight line) over the relevant range. This behavior implies that the price of the product or service will not change as sales volume varies within the relevant range.</w:t>
      </w:r>
    </w:p>
    <w:p w:rsidR="0062255F" w:rsidRDefault="0062255F" w:rsidP="0062255F">
      <w:pPr>
        <w:pStyle w:val="Outline2"/>
      </w:pPr>
      <w:r>
        <w:t>(b)</w:t>
      </w:r>
      <w:r>
        <w:tab/>
        <w:t>The behavior of total expenses is linear (straight line) over the relevant range. This behavior implies the following more specific assumptions:</w:t>
      </w:r>
    </w:p>
    <w:p w:rsidR="0062255F" w:rsidRDefault="0062255F" w:rsidP="0062255F">
      <w:pPr>
        <w:pStyle w:val="Outline2"/>
      </w:pPr>
      <w:r>
        <w:tab/>
        <w:t>(1)</w:t>
      </w:r>
      <w:r>
        <w:tab/>
        <w:t>Expenses can be categorized as fixed, variable, or semivariable.</w:t>
      </w:r>
    </w:p>
    <w:p w:rsidR="0062255F" w:rsidRDefault="0062255F" w:rsidP="0062255F">
      <w:pPr>
        <w:pStyle w:val="Outline2"/>
      </w:pPr>
      <w:r>
        <w:tab/>
        <w:t>(2)</w:t>
      </w:r>
      <w:r>
        <w:tab/>
        <w:t>Efficiency and productivity are constant.</w:t>
      </w:r>
    </w:p>
    <w:p w:rsidR="0062255F" w:rsidRDefault="0062255F" w:rsidP="0062255F">
      <w:pPr>
        <w:pStyle w:val="Outline2"/>
      </w:pPr>
      <w:r>
        <w:t>(c)</w:t>
      </w:r>
      <w:r>
        <w:tab/>
        <w:t>In multiproduct organizations, the sales mix remains constant over the relevant range.</w:t>
      </w:r>
    </w:p>
    <w:p w:rsidR="0062255F" w:rsidRDefault="0062255F" w:rsidP="0062255F">
      <w:pPr>
        <w:pStyle w:val="Outline2"/>
      </w:pPr>
      <w:r>
        <w:t>(d)</w:t>
      </w:r>
      <w:r>
        <w:tab/>
        <w:t>In manufacturing firms, the inventory levels at the beginning and end of the period are the same.</w:t>
      </w:r>
    </w:p>
    <w:p w:rsidR="0062255F" w:rsidRDefault="0062255F" w:rsidP="0062255F">
      <w:pPr>
        <w:pStyle w:val="Outline1"/>
      </w:pPr>
      <w:r>
        <w:t>7-12</w:t>
      </w:r>
      <w:r>
        <w:tab/>
        <w:t>Operating managers frequently prefer the contribution income statement because it separates fixed and variable costs. This format makes cost-volume-profit relationships more readily discernible.</w:t>
      </w:r>
    </w:p>
    <w:p w:rsidR="0062255F" w:rsidRDefault="0062255F" w:rsidP="0062255F">
      <w:pPr>
        <w:pStyle w:val="Outline1"/>
      </w:pPr>
      <w:r>
        <w:br w:type="page"/>
      </w:r>
      <w:r>
        <w:lastRenderedPageBreak/>
        <w:t>7-13</w:t>
      </w:r>
      <w:r>
        <w:tab/>
        <w:t xml:space="preserve">The </w:t>
      </w:r>
      <w:r>
        <w:rPr>
          <w:i/>
        </w:rPr>
        <w:t>gross margin</w:t>
      </w:r>
      <w:r>
        <w:t xml:space="preserve"> is defined as sales revenue minus all variable and fixed manufacturing expenses. The </w:t>
      </w:r>
      <w:r>
        <w:rPr>
          <w:szCs w:val="26"/>
        </w:rPr>
        <w:t>total</w:t>
      </w:r>
      <w:r>
        <w:rPr>
          <w:i/>
        </w:rPr>
        <w:t xml:space="preserve"> contribution margin</w:t>
      </w:r>
      <w:r>
        <w:t xml:space="preserve"> is defined as sales revenue minus all variable expenses, including manufacturing, selling, and administrative expenses.</w:t>
      </w:r>
    </w:p>
    <w:p w:rsidR="0062255F" w:rsidRDefault="0062255F" w:rsidP="0062255F">
      <w:pPr>
        <w:pStyle w:val="Outline1"/>
      </w:pPr>
      <w:r>
        <w:t>7-14</w:t>
      </w:r>
      <w:r>
        <w:tab/>
        <w:t>East Company, which is highly automated, will have a cost structure dominated by fixed costs. West Company's cost structure will include a larger proportion of variable costs than East Company's cost structure.</w:t>
      </w:r>
    </w:p>
    <w:p w:rsidR="0062255F" w:rsidRDefault="0062255F" w:rsidP="0062255F">
      <w:pPr>
        <w:pStyle w:val="Outline1"/>
      </w:pPr>
      <w:r>
        <w:tab/>
      </w:r>
      <w:r>
        <w:tab/>
        <w:t>A firm's operating leverage factor, at a particular sales volume, is defined as its total contribution margin divided by its net income. Since East Company has proportionately higher fixed costs, it will have a proportionately higher total contribution margin. Therefore, East Company's operating leverage factor will be higher.</w:t>
      </w:r>
    </w:p>
    <w:p w:rsidR="0062255F" w:rsidRDefault="0062255F" w:rsidP="0062255F">
      <w:pPr>
        <w:pStyle w:val="Outline1"/>
      </w:pPr>
      <w:r>
        <w:t>7-15</w:t>
      </w:r>
      <w:r>
        <w:tab/>
        <w:t>When sales volume increases, Company X will have a higher percentage increase in profit than Company Y. Company X's higher proportion of fixed costs gives the firm a higher operating leverage factor. The company's percentage increase in profit can be found by multiplying the percentage increase in sales volume by the firm's operating leverage factor.</w:t>
      </w:r>
    </w:p>
    <w:p w:rsidR="0062255F" w:rsidRDefault="0062255F" w:rsidP="0062255F">
      <w:pPr>
        <w:pStyle w:val="Outline1"/>
      </w:pPr>
      <w:r>
        <w:t>7-16</w:t>
      </w:r>
      <w:r>
        <w:tab/>
        <w:t>The sales mix of a multiproduct organization is the relative proportion of sales of its products.</w:t>
      </w:r>
    </w:p>
    <w:p w:rsidR="0062255F" w:rsidRDefault="0062255F" w:rsidP="0062255F">
      <w:pPr>
        <w:pStyle w:val="Outline1"/>
      </w:pPr>
      <w:r>
        <w:tab/>
      </w:r>
      <w:r>
        <w:tab/>
        <w:t>The weighted-average unit contribution margin is the average of the unit contribution margins for a firm's several products, with each product's contribution margin weighted by the relative proportion of that product's sales.</w:t>
      </w:r>
    </w:p>
    <w:p w:rsidR="0062255F" w:rsidRDefault="0062255F" w:rsidP="0062255F">
      <w:pPr>
        <w:pStyle w:val="Outline1"/>
      </w:pPr>
      <w:r>
        <w:t>7-17</w:t>
      </w:r>
      <w:r>
        <w:tab/>
        <w:t>The car rental agency's sales mix is the relative proportion of its rental business associated with each of the three types of automobiles: subcompact, compact, and full-size. In a multi-product CVP analysis, the sales mix is assumed to be constant over the relevant range of activity.</w:t>
      </w:r>
    </w:p>
    <w:p w:rsidR="0062255F" w:rsidRDefault="0062255F" w:rsidP="0062255F">
      <w:pPr>
        <w:pStyle w:val="Outline1"/>
      </w:pPr>
      <w:r>
        <w:t>7-18</w:t>
      </w:r>
      <w:r>
        <w:tab/>
        <w:t>Cost-volume-profit analysis shows the effect on profit of changes in expenses, sales prices, and sales mix. A change in the hotel's room rate (price) will change the hotel's unit contribution margin. This contribution-margin change will alter the relationship between volume and profit.</w:t>
      </w:r>
    </w:p>
    <w:p w:rsidR="0062255F" w:rsidRDefault="0062255F" w:rsidP="0062255F">
      <w:pPr>
        <w:pStyle w:val="Outline1"/>
      </w:pPr>
      <w:r>
        <w:br w:type="page"/>
      </w:r>
      <w:r>
        <w:lastRenderedPageBreak/>
        <w:t>7-19</w:t>
      </w:r>
      <w:r>
        <w:tab/>
        <w:t>Budgeting begins with a sales forecast. Cost-volume-profit analysis can be used to determine the profit that will be achieved at the budgeted sales volume. A CVP analysis also shows how profit will change if the sales volume deviates from budgeted sales.</w:t>
      </w:r>
    </w:p>
    <w:p w:rsidR="0062255F" w:rsidRDefault="0062255F" w:rsidP="0062255F">
      <w:pPr>
        <w:pStyle w:val="Outline1"/>
      </w:pPr>
      <w:r>
        <w:tab/>
      </w:r>
      <w:r>
        <w:tab/>
        <w:t>Cost-volume-profit analysis can be used to show the effect on profit when variable or fixed expenses change. The effect on profit of changes in variable or fixed advertising expenses is one factor that management would consider in making a decision about advertising.</w:t>
      </w:r>
    </w:p>
    <w:p w:rsidR="0062255F" w:rsidRDefault="0062255F" w:rsidP="0062255F">
      <w:pPr>
        <w:pStyle w:val="Outline1"/>
        <w:tabs>
          <w:tab w:val="clear" w:pos="720"/>
        </w:tabs>
      </w:pPr>
      <w:r>
        <w:t>7-20</w:t>
      </w:r>
      <w:r>
        <w:tab/>
        <w:t>The low-price company must have a larger sales volume than the high-price company. By spreading its fixed expense across a larger sales volume, the low-price firm can afford to charge a lower price and still earn the same profit as the high-price company. Suppose, for example, that companies A and B have the following expenses, sales prices, sales volumes, and profits.</w:t>
      </w:r>
    </w:p>
    <w:p w:rsidR="0062255F" w:rsidRDefault="0062255F" w:rsidP="0062255F">
      <w:pPr>
        <w:pStyle w:val="Outline1"/>
        <w:ind w:left="0" w:firstLine="0"/>
      </w:pPr>
    </w:p>
    <w:tbl>
      <w:tblPr>
        <w:tblW w:w="0" w:type="auto"/>
        <w:tblInd w:w="82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040"/>
        <w:gridCol w:w="1872"/>
        <w:gridCol w:w="1800"/>
      </w:tblGrid>
      <w:tr w:rsidR="0062255F" w:rsidTr="0062255F">
        <w:tc>
          <w:tcPr>
            <w:tcW w:w="5040" w:type="dxa"/>
            <w:tcBorders>
              <w:top w:val="single" w:sz="4" w:space="0" w:color="auto"/>
              <w:left w:val="nil"/>
              <w:bottom w:val="single" w:sz="4" w:space="0" w:color="auto"/>
              <w:right w:val="nil"/>
            </w:tcBorders>
          </w:tcPr>
          <w:p w:rsidR="0062255F" w:rsidRDefault="0062255F">
            <w:pPr>
              <w:pStyle w:val="TableBody"/>
              <w:spacing w:before="120" w:after="120"/>
            </w:pPr>
          </w:p>
        </w:tc>
        <w:tc>
          <w:tcPr>
            <w:tcW w:w="1872" w:type="dxa"/>
            <w:tcBorders>
              <w:top w:val="single" w:sz="4" w:space="0" w:color="auto"/>
              <w:left w:val="nil"/>
              <w:bottom w:val="single" w:sz="4" w:space="0" w:color="auto"/>
              <w:right w:val="nil"/>
            </w:tcBorders>
            <w:hideMark/>
          </w:tcPr>
          <w:p w:rsidR="0062255F" w:rsidRDefault="0062255F">
            <w:pPr>
              <w:pStyle w:val="TableBody"/>
              <w:spacing w:before="120" w:after="120"/>
              <w:jc w:val="center"/>
            </w:pPr>
            <w:r>
              <w:t>Company A</w:t>
            </w:r>
          </w:p>
        </w:tc>
        <w:tc>
          <w:tcPr>
            <w:tcW w:w="1800" w:type="dxa"/>
            <w:tcBorders>
              <w:top w:val="single" w:sz="4" w:space="0" w:color="auto"/>
              <w:left w:val="nil"/>
              <w:bottom w:val="single" w:sz="4" w:space="0" w:color="auto"/>
              <w:right w:val="nil"/>
            </w:tcBorders>
            <w:hideMark/>
          </w:tcPr>
          <w:p w:rsidR="0062255F" w:rsidRDefault="0062255F">
            <w:pPr>
              <w:pStyle w:val="TableBody"/>
              <w:spacing w:before="120" w:after="120"/>
              <w:jc w:val="center"/>
            </w:pPr>
            <w:r>
              <w:t>Company B</w:t>
            </w:r>
          </w:p>
        </w:tc>
      </w:tr>
      <w:tr w:rsidR="0062255F" w:rsidTr="0062255F">
        <w:tc>
          <w:tcPr>
            <w:tcW w:w="5040" w:type="dxa"/>
            <w:tcBorders>
              <w:top w:val="single" w:sz="4" w:space="0" w:color="auto"/>
              <w:left w:val="nil"/>
              <w:bottom w:val="single" w:sz="4" w:space="0" w:color="auto"/>
              <w:right w:val="nil"/>
            </w:tcBorders>
            <w:hideMark/>
          </w:tcPr>
          <w:p w:rsidR="0062255F" w:rsidRDefault="0062255F">
            <w:pPr>
              <w:pStyle w:val="TableBody"/>
              <w:tabs>
                <w:tab w:val="left" w:pos="360"/>
                <w:tab w:val="left" w:leader="dot" w:pos="4752"/>
              </w:tabs>
              <w:spacing w:before="120" w:after="120"/>
            </w:pPr>
            <w:r>
              <w:t>Sales revenue:</w:t>
            </w:r>
            <w:r>
              <w:br/>
            </w:r>
            <w:r>
              <w:tab/>
              <w:t>350 units at $10</w:t>
            </w:r>
            <w:r>
              <w:tab/>
            </w:r>
            <w:r>
              <w:br/>
            </w:r>
            <w:r>
              <w:tab/>
              <w:t>100 units at $20</w:t>
            </w:r>
            <w:r>
              <w:tab/>
            </w:r>
            <w:r>
              <w:br/>
              <w:t>Variable expenses:</w:t>
            </w:r>
            <w:r>
              <w:br/>
            </w:r>
            <w:r>
              <w:tab/>
              <w:t>350 units at $6</w:t>
            </w:r>
            <w:r>
              <w:tab/>
            </w:r>
            <w:r>
              <w:br/>
            </w:r>
            <w:r>
              <w:tab/>
              <w:t>100 units at $6</w:t>
            </w:r>
            <w:r>
              <w:tab/>
            </w:r>
            <w:r>
              <w:br/>
              <w:t>Contribution margin</w:t>
            </w:r>
            <w:r>
              <w:tab/>
            </w:r>
            <w:r>
              <w:br/>
              <w:t>Fixed expenses</w:t>
            </w:r>
            <w:r>
              <w:tab/>
            </w:r>
            <w:r>
              <w:br/>
              <w:t>Profit</w:t>
            </w:r>
            <w:r>
              <w:tab/>
            </w:r>
          </w:p>
        </w:tc>
        <w:tc>
          <w:tcPr>
            <w:tcW w:w="1872" w:type="dxa"/>
            <w:tcBorders>
              <w:top w:val="single" w:sz="4" w:space="0" w:color="auto"/>
              <w:left w:val="nil"/>
              <w:bottom w:val="single" w:sz="4" w:space="0" w:color="auto"/>
              <w:right w:val="nil"/>
            </w:tcBorders>
            <w:hideMark/>
          </w:tcPr>
          <w:p w:rsidR="0062255F" w:rsidRDefault="0062255F">
            <w:pPr>
              <w:pStyle w:val="TableBody"/>
              <w:tabs>
                <w:tab w:val="left" w:pos="612"/>
                <w:tab w:val="right" w:pos="1332"/>
              </w:tabs>
              <w:spacing w:before="120" w:after="120"/>
            </w:pPr>
            <w:r>
              <w:br/>
            </w:r>
            <w:r>
              <w:tab/>
            </w:r>
            <w:r>
              <w:tab/>
              <w:t>$3,500</w:t>
            </w:r>
            <w:r>
              <w:br/>
            </w:r>
            <w:r>
              <w:br/>
            </w:r>
            <w:r>
              <w:br/>
            </w:r>
            <w:r>
              <w:tab/>
            </w:r>
            <w:r>
              <w:tab/>
              <w:t>2,100</w:t>
            </w:r>
            <w:r>
              <w:br/>
            </w:r>
            <w:r>
              <w:tab/>
            </w:r>
            <w:r>
              <w:rPr>
                <w:u w:val="single"/>
              </w:rPr>
              <w:tab/>
            </w:r>
            <w:r>
              <w:br/>
            </w:r>
            <w:r>
              <w:tab/>
            </w:r>
            <w:r>
              <w:tab/>
              <w:t>$1,400</w:t>
            </w:r>
            <w:r>
              <w:br/>
            </w:r>
            <w:r>
              <w:tab/>
            </w:r>
            <w:r>
              <w:tab/>
            </w:r>
            <w:r>
              <w:rPr>
                <w:u w:val="single"/>
              </w:rPr>
              <w:t xml:space="preserve">  1,000</w:t>
            </w:r>
            <w:r>
              <w:br/>
            </w:r>
            <w:r>
              <w:tab/>
            </w:r>
            <w:r>
              <w:tab/>
            </w:r>
            <w:r>
              <w:rPr>
                <w:u w:val="double"/>
              </w:rPr>
              <w:t>$   400</w:t>
            </w:r>
          </w:p>
        </w:tc>
        <w:tc>
          <w:tcPr>
            <w:tcW w:w="1800" w:type="dxa"/>
            <w:tcBorders>
              <w:top w:val="single" w:sz="4" w:space="0" w:color="auto"/>
              <w:left w:val="nil"/>
              <w:bottom w:val="single" w:sz="4" w:space="0" w:color="auto"/>
              <w:right w:val="nil"/>
            </w:tcBorders>
            <w:hideMark/>
          </w:tcPr>
          <w:p w:rsidR="0062255F" w:rsidRDefault="0062255F">
            <w:pPr>
              <w:pStyle w:val="TableBody"/>
              <w:tabs>
                <w:tab w:val="right" w:pos="1242"/>
              </w:tabs>
              <w:spacing w:before="120" w:after="120"/>
            </w:pPr>
            <w:r>
              <w:br/>
            </w:r>
            <w:r>
              <w:br/>
            </w:r>
            <w:r>
              <w:tab/>
              <w:t>$2,000</w:t>
            </w:r>
            <w:r>
              <w:br/>
            </w:r>
            <w:r>
              <w:br/>
            </w:r>
            <w:r>
              <w:br/>
            </w:r>
            <w:r>
              <w:tab/>
            </w:r>
            <w:r>
              <w:rPr>
                <w:u w:val="single"/>
              </w:rPr>
              <w:t xml:space="preserve">     600</w:t>
            </w:r>
            <w:r>
              <w:br/>
            </w:r>
            <w:r>
              <w:tab/>
              <w:t>$1,400</w:t>
            </w:r>
            <w:r>
              <w:br/>
            </w:r>
            <w:r>
              <w:tab/>
            </w:r>
            <w:r>
              <w:rPr>
                <w:u w:val="single"/>
              </w:rPr>
              <w:t xml:space="preserve">  1,000</w:t>
            </w:r>
            <w:r>
              <w:br/>
            </w:r>
            <w:r>
              <w:tab/>
            </w:r>
            <w:r>
              <w:rPr>
                <w:u w:val="double"/>
              </w:rPr>
              <w:t>$   400</w:t>
            </w:r>
          </w:p>
        </w:tc>
      </w:tr>
    </w:tbl>
    <w:p w:rsidR="0062255F" w:rsidRDefault="0062255F" w:rsidP="0062255F">
      <w:pPr>
        <w:pStyle w:val="Outline1"/>
      </w:pPr>
    </w:p>
    <w:p w:rsidR="0062255F" w:rsidRDefault="0062255F" w:rsidP="0062255F">
      <w:pPr>
        <w:pStyle w:val="Outline1"/>
      </w:pPr>
      <w:r>
        <w:t>7-21</w:t>
      </w:r>
      <w:r>
        <w:tab/>
        <w:t xml:space="preserve">The statement makes three assertions, but only two of them are true. Thus, the statement is </w:t>
      </w:r>
      <w:r>
        <w:rPr>
          <w:i/>
        </w:rPr>
        <w:t>false</w:t>
      </w:r>
      <w:r>
        <w:t xml:space="preserve">. A company with an advanced manufacturing environment typically will have a larger proportion of fixed costs in its cost structure. This will result in a higher break-even point and greater operating leverage. However, the firm's higher break-even point will result in a </w:t>
      </w:r>
      <w:r>
        <w:rPr>
          <w:i/>
        </w:rPr>
        <w:t>reduced</w:t>
      </w:r>
      <w:r>
        <w:t xml:space="preserve"> safety margin.</w:t>
      </w:r>
    </w:p>
    <w:p w:rsidR="0062255F" w:rsidRDefault="0062255F" w:rsidP="0062255F">
      <w:pPr>
        <w:pStyle w:val="Outline1"/>
      </w:pPr>
      <w:r>
        <w:t>7-22</w:t>
      </w:r>
      <w:r>
        <w:tab/>
        <w:t xml:space="preserve">Activity-based costing (ABC) results in a richer description of an organization's cost behavior and CVP relationships. Costs that are fixed with respect to sales volume may not be fixed with respect to other important cost drivers. An ABC system recognizes these </w:t>
      </w:r>
      <w:proofErr w:type="spellStart"/>
      <w:r>
        <w:t>nonvolume</w:t>
      </w:r>
      <w:proofErr w:type="spellEnd"/>
      <w:r>
        <w:t xml:space="preserve"> cost drivers, whereas a traditional costing system does not.</w:t>
      </w:r>
    </w:p>
    <w:p w:rsidR="0062255F" w:rsidRDefault="0062255F">
      <w:r>
        <w:br w:type="page"/>
      </w:r>
    </w:p>
    <w:p w:rsidR="0062255F" w:rsidRDefault="0062255F" w:rsidP="0062255F">
      <w:pPr>
        <w:pStyle w:val="Heading1"/>
      </w:pPr>
      <w:r>
        <w:lastRenderedPageBreak/>
        <w:t>SOLUTIONS to ASSIGNED EXERCISES</w:t>
      </w:r>
    </w:p>
    <w:p w:rsidR="0062255F" w:rsidRDefault="0062255F" w:rsidP="0062255F">
      <w:pPr>
        <w:pStyle w:val="Heading2"/>
        <w:rPr>
          <w:i/>
          <w:u w:val="single"/>
        </w:rPr>
      </w:pPr>
      <w:r>
        <w:t xml:space="preserve">Exercise 7-27 </w:t>
      </w:r>
    </w:p>
    <w:p w:rsidR="0062255F" w:rsidRDefault="0062255F" w:rsidP="0062255F">
      <w:pPr>
        <w:pStyle w:val="Outline1"/>
        <w:tabs>
          <w:tab w:val="clear" w:pos="1080"/>
          <w:tab w:val="clear" w:pos="1440"/>
          <w:tab w:val="clear" w:pos="1800"/>
          <w:tab w:val="clear" w:pos="2160"/>
          <w:tab w:val="clear" w:pos="2520"/>
          <w:tab w:val="clear" w:pos="2880"/>
          <w:tab w:val="clear" w:pos="3240"/>
          <w:tab w:val="left" w:pos="3780"/>
        </w:tabs>
      </w:pPr>
      <w:r>
        <w:t>1.</w:t>
      </w:r>
      <w:r>
        <w:tab/>
        <w:t>Break-even point (in units)</w:t>
      </w:r>
      <w:r>
        <w:tab/>
        <w:t xml:space="preserve">= </w:t>
      </w:r>
      <w:r>
        <w:rPr>
          <w:position w:val="-30"/>
        </w:rPr>
        <w:object w:dxaOrig="2520" w:dyaOrig="705">
          <v:shape id="_x0000_i1028" type="#_x0000_t75" style="width:126pt;height:35.25pt" o:ole="" fillcolor="window">
            <v:imagedata r:id="rId12" o:title=""/>
          </v:shape>
          <o:OLEObject Type="Embed" ProgID="Equation.3" ShapeID="_x0000_i1028" DrawAspect="Content" ObjectID="_1479202907" r:id="rId13"/>
        </w:object>
      </w:r>
    </w:p>
    <w:p w:rsidR="0062255F" w:rsidRDefault="0062255F" w:rsidP="0062255F">
      <w:pPr>
        <w:pStyle w:val="Outline2"/>
        <w:tabs>
          <w:tab w:val="clear" w:pos="1080"/>
          <w:tab w:val="clear" w:pos="1440"/>
          <w:tab w:val="clear" w:pos="1800"/>
          <w:tab w:val="clear" w:pos="2160"/>
          <w:tab w:val="clear" w:pos="2520"/>
          <w:tab w:val="clear" w:pos="2880"/>
          <w:tab w:val="clear" w:pos="3240"/>
          <w:tab w:val="left" w:pos="3780"/>
        </w:tabs>
      </w:pPr>
      <w:r>
        <w:tab/>
      </w:r>
      <w:r>
        <w:tab/>
        <w:t xml:space="preserve">= </w:t>
      </w:r>
      <w:r>
        <w:rPr>
          <w:position w:val="-30"/>
        </w:rPr>
        <w:object w:dxaOrig="1680" w:dyaOrig="675">
          <v:shape id="_x0000_i1029" type="#_x0000_t75" style="width:84pt;height:33.75pt" o:ole="" fillcolor="window">
            <v:imagedata r:id="rId14" o:title=""/>
          </v:shape>
          <o:OLEObject Type="Embed" ProgID="Equation.3" ShapeID="_x0000_i1029" DrawAspect="Content" ObjectID="_1479202908" r:id="rId15"/>
        </w:object>
      </w:r>
      <w:r>
        <w:t>= 4,000 components</w:t>
      </w:r>
    </w:p>
    <w:p w:rsidR="0062255F" w:rsidRDefault="0062255F" w:rsidP="0062255F">
      <w:pPr>
        <w:pStyle w:val="Outline2"/>
        <w:tabs>
          <w:tab w:val="clear" w:pos="1080"/>
          <w:tab w:val="clear" w:pos="1440"/>
          <w:tab w:val="clear" w:pos="1800"/>
          <w:tab w:val="clear" w:pos="2160"/>
          <w:tab w:val="clear" w:pos="2520"/>
          <w:tab w:val="clear" w:pos="2880"/>
          <w:tab w:val="clear" w:pos="3240"/>
          <w:tab w:val="left" w:pos="3780"/>
        </w:tabs>
      </w:pPr>
      <w:r>
        <w:rPr>
          <w:i/>
        </w:rPr>
        <w:t>p</w:t>
      </w:r>
      <w:r>
        <w:t xml:space="preserve"> denotes Argentina’s peso.</w:t>
      </w:r>
    </w:p>
    <w:p w:rsidR="0062255F" w:rsidRDefault="0062255F" w:rsidP="0062255F">
      <w:pPr>
        <w:pStyle w:val="Outline1"/>
        <w:tabs>
          <w:tab w:val="clear" w:pos="1080"/>
          <w:tab w:val="clear" w:pos="1440"/>
          <w:tab w:val="clear" w:pos="1800"/>
          <w:tab w:val="clear" w:pos="2160"/>
          <w:tab w:val="clear" w:pos="2520"/>
          <w:tab w:val="clear" w:pos="2880"/>
          <w:tab w:val="clear" w:pos="3240"/>
          <w:tab w:val="left" w:pos="4230"/>
        </w:tabs>
      </w:pPr>
      <w:r>
        <w:t>2.</w:t>
      </w:r>
      <w:r>
        <w:tab/>
        <w:t>New break-even point (in units)</w:t>
      </w:r>
      <w:r>
        <w:tab/>
        <w:t xml:space="preserve">= </w:t>
      </w:r>
      <w:r>
        <w:rPr>
          <w:position w:val="-30"/>
        </w:rPr>
        <w:object w:dxaOrig="1860" w:dyaOrig="675">
          <v:shape id="_x0000_i1030" type="#_x0000_t75" style="width:93pt;height:33.75pt" o:ole="" fillcolor="window">
            <v:imagedata r:id="rId16" o:title=""/>
          </v:shape>
          <o:OLEObject Type="Embed" ProgID="Equation.3" ShapeID="_x0000_i1030" DrawAspect="Content" ObjectID="_1479202909" r:id="rId17"/>
        </w:object>
      </w:r>
    </w:p>
    <w:p w:rsidR="0062255F" w:rsidRDefault="0062255F" w:rsidP="0062255F">
      <w:pPr>
        <w:pStyle w:val="Outline1"/>
        <w:tabs>
          <w:tab w:val="clear" w:pos="1080"/>
          <w:tab w:val="clear" w:pos="1440"/>
          <w:tab w:val="clear" w:pos="1800"/>
          <w:tab w:val="clear" w:pos="2160"/>
          <w:tab w:val="clear" w:pos="2520"/>
          <w:tab w:val="clear" w:pos="2880"/>
          <w:tab w:val="clear" w:pos="3240"/>
          <w:tab w:val="left" w:pos="4230"/>
        </w:tabs>
      </w:pPr>
      <w:r>
        <w:tab/>
      </w:r>
      <w:r>
        <w:tab/>
        <w:t>=</w:t>
      </w:r>
      <w:r>
        <w:rPr>
          <w:position w:val="-30"/>
        </w:rPr>
        <w:object w:dxaOrig="1185" w:dyaOrig="675">
          <v:shape id="_x0000_i1031" type="#_x0000_t75" style="width:59.25pt;height:33.75pt" o:ole="" fillcolor="window">
            <v:imagedata r:id="rId18" o:title=""/>
          </v:shape>
          <o:OLEObject Type="Embed" ProgID="Equation.3" ShapeID="_x0000_i1031" DrawAspect="Content" ObjectID="_1479202910" r:id="rId19"/>
        </w:object>
      </w:r>
      <w:r>
        <w:t>= 4,200 components</w:t>
      </w:r>
    </w:p>
    <w:p w:rsidR="0062255F" w:rsidRDefault="0062255F" w:rsidP="0062255F">
      <w:pPr>
        <w:pStyle w:val="Outline1"/>
        <w:tabs>
          <w:tab w:val="clear" w:pos="1080"/>
          <w:tab w:val="clear" w:pos="1440"/>
          <w:tab w:val="clear" w:pos="1800"/>
          <w:tab w:val="clear" w:pos="2160"/>
          <w:tab w:val="clear" w:pos="2520"/>
          <w:tab w:val="clear" w:pos="2880"/>
          <w:tab w:val="clear" w:pos="3240"/>
          <w:tab w:val="left" w:pos="4230"/>
          <w:tab w:val="right" w:leader="dot" w:pos="7200"/>
          <w:tab w:val="right" w:pos="8640"/>
        </w:tabs>
        <w:spacing w:after="0"/>
      </w:pPr>
      <w:r>
        <w:t>3.</w:t>
      </w:r>
      <w:r>
        <w:tab/>
        <w:t xml:space="preserve">Sales revenue (7,000 </w:t>
      </w:r>
      <w:r>
        <w:sym w:font="Symbol" w:char="F0B4"/>
      </w:r>
      <w:r>
        <w:t xml:space="preserve"> 1,500</w:t>
      </w:r>
      <w:r>
        <w:rPr>
          <w:i/>
        </w:rPr>
        <w:t>p</w:t>
      </w:r>
      <w:r>
        <w:t>)</w:t>
      </w:r>
      <w:r>
        <w:tab/>
      </w:r>
      <w:r>
        <w:tab/>
      </w:r>
      <w:r>
        <w:tab/>
        <w:t>10,500,000</w:t>
      </w:r>
      <w:r>
        <w:rPr>
          <w:i/>
        </w:rPr>
        <w:t>p</w:t>
      </w:r>
    </w:p>
    <w:p w:rsidR="0062255F" w:rsidRDefault="0062255F" w:rsidP="0062255F">
      <w:pPr>
        <w:pStyle w:val="Outline2"/>
        <w:tabs>
          <w:tab w:val="clear" w:pos="1800"/>
          <w:tab w:val="clear" w:pos="2160"/>
          <w:tab w:val="clear" w:pos="2520"/>
          <w:tab w:val="clear" w:pos="2880"/>
          <w:tab w:val="clear" w:pos="3240"/>
          <w:tab w:val="left" w:leader="dot" w:pos="7200"/>
          <w:tab w:val="right" w:pos="8640"/>
        </w:tabs>
        <w:spacing w:before="0" w:after="0"/>
      </w:pPr>
      <w:r>
        <w:t xml:space="preserve">Variable costs (7,000 </w:t>
      </w:r>
      <w:r>
        <w:sym w:font="Symbol" w:char="F0B4"/>
      </w:r>
      <w:r>
        <w:t xml:space="preserve"> 1,000</w:t>
      </w:r>
      <w:r>
        <w:rPr>
          <w:i/>
        </w:rPr>
        <w:t>p</w:t>
      </w:r>
      <w:r>
        <w:t>)</w:t>
      </w:r>
      <w:r>
        <w:tab/>
      </w:r>
      <w:r>
        <w:tab/>
      </w:r>
      <w:r>
        <w:rPr>
          <w:u w:val="single"/>
        </w:rPr>
        <w:t xml:space="preserve">  7,000,000</w:t>
      </w:r>
      <w:r>
        <w:rPr>
          <w:i/>
          <w:u w:val="single"/>
        </w:rPr>
        <w:t>p</w:t>
      </w:r>
    </w:p>
    <w:p w:rsidR="0062255F" w:rsidRDefault="0062255F" w:rsidP="0062255F">
      <w:pPr>
        <w:pStyle w:val="Outline2"/>
        <w:tabs>
          <w:tab w:val="clear" w:pos="1800"/>
          <w:tab w:val="clear" w:pos="2160"/>
          <w:tab w:val="clear" w:pos="2520"/>
          <w:tab w:val="clear" w:pos="2880"/>
          <w:tab w:val="clear" w:pos="3240"/>
          <w:tab w:val="left" w:leader="dot" w:pos="7200"/>
          <w:tab w:val="right" w:pos="8640"/>
        </w:tabs>
        <w:spacing w:before="0" w:after="0"/>
      </w:pPr>
      <w:r>
        <w:t>Contribution margin</w:t>
      </w:r>
      <w:r>
        <w:tab/>
      </w:r>
      <w:r>
        <w:tab/>
        <w:t>3,500,000</w:t>
      </w:r>
      <w:r>
        <w:rPr>
          <w:i/>
        </w:rPr>
        <w:t>p</w:t>
      </w:r>
    </w:p>
    <w:p w:rsidR="0062255F" w:rsidRDefault="0062255F" w:rsidP="0062255F">
      <w:pPr>
        <w:pStyle w:val="Outline2"/>
        <w:tabs>
          <w:tab w:val="clear" w:pos="1800"/>
          <w:tab w:val="clear" w:pos="2160"/>
          <w:tab w:val="clear" w:pos="2520"/>
          <w:tab w:val="clear" w:pos="2880"/>
          <w:tab w:val="clear" w:pos="3240"/>
          <w:tab w:val="left" w:leader="dot" w:pos="7200"/>
          <w:tab w:val="right" w:pos="8640"/>
        </w:tabs>
        <w:spacing w:before="0" w:after="0"/>
      </w:pPr>
      <w:r>
        <w:t>Fixed costs</w:t>
      </w:r>
      <w:r>
        <w:tab/>
      </w:r>
      <w:r>
        <w:tab/>
      </w:r>
      <w:r>
        <w:rPr>
          <w:u w:val="single"/>
        </w:rPr>
        <w:t> </w:t>
      </w:r>
      <w:r>
        <w:rPr>
          <w:u w:val="single"/>
        </w:rPr>
        <w:t xml:space="preserve"> 2,000,000</w:t>
      </w:r>
      <w:r>
        <w:rPr>
          <w:i/>
          <w:u w:val="single"/>
        </w:rPr>
        <w:t>p</w:t>
      </w:r>
    </w:p>
    <w:p w:rsidR="0062255F" w:rsidRDefault="0062255F" w:rsidP="0062255F">
      <w:pPr>
        <w:pStyle w:val="Outline2"/>
        <w:tabs>
          <w:tab w:val="clear" w:pos="1800"/>
          <w:tab w:val="clear" w:pos="2160"/>
          <w:tab w:val="clear" w:pos="2520"/>
          <w:tab w:val="clear" w:pos="2880"/>
          <w:tab w:val="clear" w:pos="3240"/>
          <w:tab w:val="left" w:leader="dot" w:pos="7200"/>
          <w:tab w:val="right" w:pos="8640"/>
        </w:tabs>
        <w:spacing w:before="0" w:after="0"/>
      </w:pPr>
      <w:r>
        <w:t>Net income</w:t>
      </w:r>
      <w:r>
        <w:tab/>
      </w:r>
      <w:r>
        <w:tab/>
      </w:r>
      <w:r>
        <w:rPr>
          <w:u w:val="double"/>
        </w:rPr>
        <w:t xml:space="preserve"> 1,500,000</w:t>
      </w:r>
      <w:r>
        <w:rPr>
          <w:i/>
          <w:u w:val="double"/>
        </w:rPr>
        <w:t>p</w:t>
      </w:r>
    </w:p>
    <w:p w:rsidR="0062255F" w:rsidRDefault="0062255F" w:rsidP="0062255F">
      <w:pPr>
        <w:pStyle w:val="Outline1"/>
        <w:numPr>
          <w:ilvl w:val="0"/>
          <w:numId w:val="2"/>
        </w:numPr>
        <w:ind w:hanging="720"/>
      </w:pPr>
      <w:r>
        <w:t xml:space="preserve">New break-even point (in units) = </w:t>
      </w:r>
      <w:r>
        <w:rPr>
          <w:position w:val="-30"/>
        </w:rPr>
        <w:object w:dxaOrig="1605" w:dyaOrig="675">
          <v:shape id="_x0000_i1032" type="#_x0000_t75" style="width:80.25pt;height:33.75pt" o:ole="" fillcolor="window">
            <v:imagedata r:id="rId20" o:title=""/>
          </v:shape>
          <o:OLEObject Type="Embed" ProgID="Equation.3" ShapeID="_x0000_i1032" DrawAspect="Content" ObjectID="_1479202911" r:id="rId21"/>
        </w:object>
      </w:r>
    </w:p>
    <w:p w:rsidR="0062255F" w:rsidRDefault="0062255F" w:rsidP="0062255F">
      <w:pPr>
        <w:pStyle w:val="Outline1"/>
        <w:tabs>
          <w:tab w:val="clear" w:pos="720"/>
          <w:tab w:val="clear" w:pos="1080"/>
          <w:tab w:val="clear" w:pos="1440"/>
          <w:tab w:val="clear" w:pos="1800"/>
          <w:tab w:val="clear" w:pos="2160"/>
          <w:tab w:val="clear" w:pos="2520"/>
          <w:tab w:val="clear" w:pos="2880"/>
          <w:tab w:val="clear" w:pos="3240"/>
          <w:tab w:val="left" w:pos="3960"/>
        </w:tabs>
        <w:ind w:left="0" w:firstLine="0"/>
      </w:pPr>
      <w:r>
        <w:tab/>
        <w:t>= 5,000 components</w:t>
      </w:r>
    </w:p>
    <w:p w:rsidR="0062255F" w:rsidRDefault="0062255F" w:rsidP="0062255F">
      <w:pPr>
        <w:pStyle w:val="Outline1"/>
      </w:pPr>
      <w:r>
        <w:t>5.</w:t>
      </w:r>
      <w:r>
        <w:tab/>
        <w:t>Analysis of price change decision: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710"/>
        <w:gridCol w:w="1710"/>
      </w:tblGrid>
      <w:tr w:rsidR="0062255F" w:rsidTr="0062255F">
        <w:trPr>
          <w:cantSplit/>
        </w:trPr>
        <w:tc>
          <w:tcPr>
            <w:tcW w:w="4680" w:type="dxa"/>
            <w:tcBorders>
              <w:top w:val="single" w:sz="4" w:space="0" w:color="auto"/>
              <w:left w:val="nil"/>
              <w:bottom w:val="nil"/>
              <w:right w:val="nil"/>
            </w:tcBorders>
          </w:tcPr>
          <w:p w:rsidR="0062255F" w:rsidRDefault="0062255F">
            <w:pPr>
              <w:pStyle w:val="Table"/>
            </w:pPr>
          </w:p>
        </w:tc>
        <w:tc>
          <w:tcPr>
            <w:tcW w:w="3420" w:type="dxa"/>
            <w:gridSpan w:val="2"/>
            <w:tcBorders>
              <w:top w:val="single" w:sz="4" w:space="0" w:color="auto"/>
              <w:left w:val="nil"/>
              <w:bottom w:val="single" w:sz="4" w:space="0" w:color="auto"/>
              <w:right w:val="nil"/>
            </w:tcBorders>
            <w:hideMark/>
          </w:tcPr>
          <w:p w:rsidR="0062255F" w:rsidRDefault="0062255F">
            <w:pPr>
              <w:pStyle w:val="Table"/>
              <w:jc w:val="center"/>
            </w:pPr>
            <w:r>
              <w:t>Price</w:t>
            </w:r>
          </w:p>
        </w:tc>
      </w:tr>
      <w:tr w:rsidR="0062255F" w:rsidTr="0062255F">
        <w:tc>
          <w:tcPr>
            <w:tcW w:w="4680" w:type="dxa"/>
            <w:tcBorders>
              <w:top w:val="nil"/>
              <w:left w:val="nil"/>
              <w:bottom w:val="single" w:sz="4" w:space="0" w:color="auto"/>
              <w:right w:val="nil"/>
            </w:tcBorders>
          </w:tcPr>
          <w:p w:rsidR="0062255F" w:rsidRDefault="0062255F">
            <w:pPr>
              <w:pStyle w:val="Table"/>
            </w:pPr>
          </w:p>
        </w:tc>
        <w:tc>
          <w:tcPr>
            <w:tcW w:w="1710" w:type="dxa"/>
            <w:tcBorders>
              <w:top w:val="single" w:sz="4" w:space="0" w:color="auto"/>
              <w:left w:val="nil"/>
              <w:bottom w:val="single" w:sz="4" w:space="0" w:color="auto"/>
              <w:right w:val="nil"/>
            </w:tcBorders>
            <w:hideMark/>
          </w:tcPr>
          <w:p w:rsidR="0062255F" w:rsidRDefault="0062255F">
            <w:pPr>
              <w:pStyle w:val="Table"/>
              <w:jc w:val="center"/>
            </w:pPr>
            <w:r>
              <w:t>1,500</w:t>
            </w:r>
            <w:r>
              <w:rPr>
                <w:i/>
              </w:rPr>
              <w:t>p</w:t>
            </w:r>
          </w:p>
        </w:tc>
        <w:tc>
          <w:tcPr>
            <w:tcW w:w="1710" w:type="dxa"/>
            <w:tcBorders>
              <w:top w:val="single" w:sz="4" w:space="0" w:color="auto"/>
              <w:left w:val="nil"/>
              <w:bottom w:val="single" w:sz="4" w:space="0" w:color="auto"/>
              <w:right w:val="nil"/>
            </w:tcBorders>
            <w:hideMark/>
          </w:tcPr>
          <w:p w:rsidR="0062255F" w:rsidRDefault="0062255F">
            <w:pPr>
              <w:pStyle w:val="Table"/>
              <w:jc w:val="center"/>
            </w:pPr>
            <w:r>
              <w:t>1,400</w:t>
            </w:r>
            <w:r>
              <w:rPr>
                <w:i/>
              </w:rPr>
              <w:t>p</w:t>
            </w:r>
          </w:p>
        </w:tc>
      </w:tr>
      <w:tr w:rsidR="0062255F" w:rsidTr="0062255F">
        <w:tc>
          <w:tcPr>
            <w:tcW w:w="4680" w:type="dxa"/>
            <w:tcBorders>
              <w:top w:val="single" w:sz="4" w:space="0" w:color="auto"/>
              <w:left w:val="nil"/>
              <w:bottom w:val="single" w:sz="4" w:space="0" w:color="auto"/>
              <w:right w:val="nil"/>
            </w:tcBorders>
            <w:hideMark/>
          </w:tcPr>
          <w:p w:rsidR="0062255F" w:rsidRDefault="0062255F">
            <w:pPr>
              <w:pStyle w:val="Table"/>
              <w:tabs>
                <w:tab w:val="clear" w:pos="288"/>
                <w:tab w:val="clear" w:pos="576"/>
                <w:tab w:val="clear" w:pos="864"/>
                <w:tab w:val="clear" w:pos="1152"/>
                <w:tab w:val="clear" w:pos="1440"/>
                <w:tab w:val="left" w:pos="1620"/>
                <w:tab w:val="left" w:leader="dot" w:pos="5220"/>
              </w:tabs>
            </w:pPr>
            <w:r>
              <w:t>Sales revenue:</w:t>
            </w:r>
            <w:r>
              <w:tab/>
              <w:t xml:space="preserve">(7,000 </w:t>
            </w:r>
            <w:r>
              <w:sym w:font="Symbol" w:char="F0B4"/>
            </w:r>
            <w:r>
              <w:t xml:space="preserve"> 1,500</w:t>
            </w:r>
            <w:r>
              <w:rPr>
                <w:i/>
              </w:rPr>
              <w:t>p</w:t>
            </w:r>
            <w:r>
              <w:t>)</w:t>
            </w:r>
            <w:r>
              <w:tab/>
            </w:r>
            <w:r>
              <w:br/>
            </w:r>
            <w:r>
              <w:tab/>
              <w:t xml:space="preserve">(8,000 </w:t>
            </w:r>
            <w:r>
              <w:sym w:font="Symbol" w:char="F0B4"/>
            </w:r>
            <w:r>
              <w:t xml:space="preserve"> 1,400</w:t>
            </w:r>
            <w:r>
              <w:rPr>
                <w:i/>
              </w:rPr>
              <w:t>p</w:t>
            </w:r>
            <w:r>
              <w:t>)</w:t>
            </w:r>
            <w:r>
              <w:tab/>
            </w:r>
            <w:r>
              <w:br/>
              <w:t>Variable costs:</w:t>
            </w:r>
            <w:r>
              <w:tab/>
              <w:t xml:space="preserve">(7,000 </w:t>
            </w:r>
            <w:r>
              <w:sym w:font="Symbol" w:char="F0B4"/>
            </w:r>
            <w:r>
              <w:t xml:space="preserve"> 1,000</w:t>
            </w:r>
            <w:r>
              <w:rPr>
                <w:i/>
              </w:rPr>
              <w:t>p</w:t>
            </w:r>
            <w:r>
              <w:t>)</w:t>
            </w:r>
            <w:r>
              <w:tab/>
            </w:r>
          </w:p>
          <w:p w:rsidR="0062255F" w:rsidRDefault="0062255F">
            <w:pPr>
              <w:pStyle w:val="Table"/>
              <w:tabs>
                <w:tab w:val="clear" w:pos="288"/>
                <w:tab w:val="clear" w:pos="576"/>
                <w:tab w:val="clear" w:pos="864"/>
                <w:tab w:val="clear" w:pos="1152"/>
                <w:tab w:val="clear" w:pos="1440"/>
                <w:tab w:val="left" w:pos="1620"/>
                <w:tab w:val="left" w:leader="dot" w:pos="5220"/>
              </w:tabs>
            </w:pPr>
            <w:r>
              <w:tab/>
              <w:t xml:space="preserve">(8,000 </w:t>
            </w:r>
            <w:r>
              <w:sym w:font="Symbol" w:char="F0B4"/>
            </w:r>
            <w:r>
              <w:t xml:space="preserve"> 1,000</w:t>
            </w:r>
            <w:r>
              <w:rPr>
                <w:i/>
              </w:rPr>
              <w:t>p</w:t>
            </w:r>
            <w:r>
              <w:t>)</w:t>
            </w:r>
            <w:r>
              <w:tab/>
            </w:r>
          </w:p>
          <w:p w:rsidR="0062255F" w:rsidRDefault="0062255F">
            <w:pPr>
              <w:pStyle w:val="Table"/>
              <w:tabs>
                <w:tab w:val="clear" w:pos="288"/>
                <w:tab w:val="clear" w:pos="576"/>
                <w:tab w:val="clear" w:pos="864"/>
                <w:tab w:val="clear" w:pos="1152"/>
                <w:tab w:val="clear" w:pos="1440"/>
                <w:tab w:val="left" w:pos="1620"/>
                <w:tab w:val="left" w:leader="dot" w:pos="5220"/>
              </w:tabs>
            </w:pPr>
            <w:r>
              <w:t>Contribution margin</w:t>
            </w:r>
            <w:r>
              <w:tab/>
            </w:r>
            <w:r>
              <w:br/>
              <w:t>Fixed expenses</w:t>
            </w:r>
            <w:r>
              <w:tab/>
            </w:r>
            <w:r>
              <w:tab/>
            </w:r>
            <w:r>
              <w:br/>
              <w:t>Net income (loss)</w:t>
            </w:r>
            <w:r>
              <w:tab/>
            </w:r>
          </w:p>
        </w:tc>
        <w:tc>
          <w:tcPr>
            <w:tcW w:w="1710" w:type="dxa"/>
            <w:tcBorders>
              <w:top w:val="single" w:sz="4" w:space="0" w:color="auto"/>
              <w:left w:val="nil"/>
              <w:bottom w:val="single" w:sz="4" w:space="0" w:color="auto"/>
              <w:right w:val="nil"/>
            </w:tcBorders>
            <w:hideMark/>
          </w:tcPr>
          <w:p w:rsidR="0062255F" w:rsidRDefault="0062255F">
            <w:pPr>
              <w:pStyle w:val="Table"/>
              <w:tabs>
                <w:tab w:val="clear" w:pos="288"/>
                <w:tab w:val="clear" w:pos="576"/>
                <w:tab w:val="clear" w:pos="864"/>
                <w:tab w:val="clear" w:pos="1152"/>
                <w:tab w:val="left" w:pos="162"/>
                <w:tab w:val="right" w:pos="1332"/>
              </w:tabs>
              <w:rPr>
                <w:u w:val="single"/>
              </w:rPr>
            </w:pPr>
            <w:r>
              <w:tab/>
              <w:t>10,500,000</w:t>
            </w:r>
            <w:r>
              <w:rPr>
                <w:i/>
              </w:rPr>
              <w:t>p</w:t>
            </w:r>
            <w:r>
              <w:br/>
            </w:r>
            <w:r>
              <w:br/>
            </w:r>
            <w:r>
              <w:tab/>
            </w:r>
            <w:r>
              <w:tab/>
              <w:t>7,000,000</w:t>
            </w:r>
            <w:r>
              <w:rPr>
                <w:i/>
              </w:rPr>
              <w:t>p</w:t>
            </w:r>
            <w:r>
              <w:br/>
            </w:r>
            <w:r>
              <w:tab/>
            </w:r>
            <w:r>
              <w:rPr>
                <w:u w:val="single"/>
              </w:rPr>
              <w:tab/>
            </w:r>
          </w:p>
          <w:p w:rsidR="0062255F" w:rsidRDefault="0062255F">
            <w:pPr>
              <w:pStyle w:val="Table"/>
              <w:tabs>
                <w:tab w:val="clear" w:pos="288"/>
                <w:tab w:val="clear" w:pos="576"/>
                <w:tab w:val="clear" w:pos="864"/>
                <w:tab w:val="clear" w:pos="1152"/>
                <w:tab w:val="left" w:pos="162"/>
                <w:tab w:val="right" w:pos="1332"/>
              </w:tabs>
              <w:rPr>
                <w:u w:val="double"/>
              </w:rPr>
            </w:pPr>
            <w:r>
              <w:tab/>
            </w:r>
            <w:r>
              <w:tab/>
              <w:t xml:space="preserve">  3,500,000</w:t>
            </w:r>
            <w:r>
              <w:rPr>
                <w:i/>
              </w:rPr>
              <w:t>p</w:t>
            </w:r>
            <w:r>
              <w:br/>
            </w:r>
            <w:r>
              <w:tab/>
            </w:r>
            <w:r>
              <w:tab/>
            </w:r>
            <w:r>
              <w:rPr>
                <w:u w:val="single"/>
              </w:rPr>
              <w:t xml:space="preserve">  2,000,000</w:t>
            </w:r>
            <w:r>
              <w:rPr>
                <w:i/>
                <w:u w:val="single"/>
              </w:rPr>
              <w:t>p</w:t>
            </w:r>
            <w:r>
              <w:br/>
            </w:r>
            <w:r>
              <w:tab/>
            </w:r>
            <w:r>
              <w:rPr>
                <w:u w:val="double"/>
              </w:rPr>
              <w:tab/>
              <w:t xml:space="preserve">  1,500,000</w:t>
            </w:r>
            <w:r>
              <w:rPr>
                <w:i/>
                <w:u w:val="double"/>
              </w:rPr>
              <w:t>p</w:t>
            </w:r>
          </w:p>
        </w:tc>
        <w:tc>
          <w:tcPr>
            <w:tcW w:w="1710" w:type="dxa"/>
            <w:tcBorders>
              <w:top w:val="single" w:sz="4" w:space="0" w:color="auto"/>
              <w:left w:val="nil"/>
              <w:bottom w:val="single" w:sz="4" w:space="0" w:color="auto"/>
              <w:right w:val="nil"/>
            </w:tcBorders>
            <w:hideMark/>
          </w:tcPr>
          <w:p w:rsidR="0062255F" w:rsidRDefault="0062255F">
            <w:pPr>
              <w:pStyle w:val="Table"/>
              <w:tabs>
                <w:tab w:val="clear" w:pos="288"/>
                <w:tab w:val="clear" w:pos="576"/>
                <w:tab w:val="clear" w:pos="864"/>
                <w:tab w:val="clear" w:pos="1152"/>
                <w:tab w:val="decimal" w:pos="1332"/>
              </w:tabs>
            </w:pPr>
            <w:r>
              <w:br/>
              <w:t xml:space="preserve">  11,200,000</w:t>
            </w:r>
            <w:r>
              <w:rPr>
                <w:i/>
              </w:rPr>
              <w:t>p</w:t>
            </w:r>
          </w:p>
          <w:p w:rsidR="0062255F" w:rsidRDefault="0062255F">
            <w:pPr>
              <w:pStyle w:val="Table"/>
              <w:tabs>
                <w:tab w:val="clear" w:pos="288"/>
                <w:tab w:val="clear" w:pos="576"/>
                <w:tab w:val="clear" w:pos="864"/>
                <w:tab w:val="clear" w:pos="1152"/>
                <w:tab w:val="decimal" w:pos="1332"/>
              </w:tabs>
              <w:rPr>
                <w:u w:val="double"/>
              </w:rPr>
            </w:pPr>
            <w:r>
              <w:br/>
            </w:r>
            <w:r>
              <w:rPr>
                <w:u w:val="single"/>
              </w:rPr>
              <w:t xml:space="preserve">   8,000,000</w:t>
            </w:r>
            <w:r>
              <w:rPr>
                <w:i/>
                <w:u w:val="single"/>
              </w:rPr>
              <w:t>p</w:t>
            </w:r>
            <w:r>
              <w:br/>
              <w:t xml:space="preserve">    3,200,000</w:t>
            </w:r>
            <w:r>
              <w:rPr>
                <w:i/>
              </w:rPr>
              <w:t>p</w:t>
            </w:r>
          </w:p>
          <w:p w:rsidR="0062255F" w:rsidRDefault="0062255F">
            <w:pPr>
              <w:pStyle w:val="Table"/>
              <w:tabs>
                <w:tab w:val="clear" w:pos="288"/>
                <w:tab w:val="clear" w:pos="576"/>
                <w:tab w:val="clear" w:pos="864"/>
                <w:tab w:val="clear" w:pos="1152"/>
                <w:tab w:val="decimal" w:pos="1332"/>
              </w:tabs>
              <w:rPr>
                <w:u w:val="single"/>
              </w:rPr>
            </w:pPr>
            <w:r>
              <w:rPr>
                <w:u w:val="single"/>
              </w:rPr>
              <w:t xml:space="preserve">    2,000,000</w:t>
            </w:r>
            <w:r>
              <w:rPr>
                <w:i/>
                <w:u w:val="single"/>
              </w:rPr>
              <w:t>p</w:t>
            </w:r>
          </w:p>
          <w:p w:rsidR="0062255F" w:rsidRDefault="0062255F">
            <w:pPr>
              <w:pStyle w:val="Table"/>
              <w:tabs>
                <w:tab w:val="clear" w:pos="288"/>
                <w:tab w:val="clear" w:pos="576"/>
                <w:tab w:val="clear" w:pos="864"/>
                <w:tab w:val="clear" w:pos="1152"/>
                <w:tab w:val="decimal" w:pos="1332"/>
              </w:tabs>
              <w:rPr>
                <w:u w:val="double"/>
              </w:rPr>
            </w:pPr>
            <w:r>
              <w:rPr>
                <w:u w:val="double"/>
              </w:rPr>
              <w:t xml:space="preserve">      1,200,000</w:t>
            </w:r>
            <w:r>
              <w:rPr>
                <w:i/>
                <w:u w:val="double"/>
              </w:rPr>
              <w:t>p</w:t>
            </w:r>
          </w:p>
        </w:tc>
      </w:tr>
    </w:tbl>
    <w:p w:rsidR="0062255F" w:rsidRDefault="0062255F" w:rsidP="0062255F">
      <w:pPr>
        <w:pStyle w:val="Table"/>
        <w:tabs>
          <w:tab w:val="clear" w:pos="288"/>
          <w:tab w:val="clear" w:pos="576"/>
          <w:tab w:val="left" w:pos="720"/>
        </w:tabs>
      </w:pPr>
      <w:r>
        <w:tab/>
      </w:r>
    </w:p>
    <w:p w:rsidR="0062255F" w:rsidRDefault="0062255F" w:rsidP="0062255F">
      <w:pPr>
        <w:pStyle w:val="Table"/>
        <w:tabs>
          <w:tab w:val="clear" w:pos="288"/>
          <w:tab w:val="clear" w:pos="576"/>
          <w:tab w:val="left" w:pos="720"/>
        </w:tabs>
      </w:pPr>
      <w:r>
        <w:tab/>
        <w:t xml:space="preserve">The price cut should not be made, since projected net income will decline by  </w:t>
      </w:r>
      <w:r>
        <w:tab/>
        <w:t>300,000</w:t>
      </w:r>
      <w:r>
        <w:rPr>
          <w:i/>
          <w:szCs w:val="26"/>
        </w:rPr>
        <w:t>p</w:t>
      </w:r>
      <w:r>
        <w:t>.</w:t>
      </w:r>
    </w:p>
    <w:p w:rsidR="0062255F" w:rsidRDefault="0062255F">
      <w:r>
        <w:br w:type="page"/>
      </w:r>
    </w:p>
    <w:p w:rsidR="0062255F" w:rsidRDefault="0062255F" w:rsidP="0062255F">
      <w:pPr>
        <w:pStyle w:val="Heading2"/>
      </w:pPr>
      <w:r>
        <w:lastRenderedPageBreak/>
        <w:t xml:space="preserve">Exercise 7-30 </w:t>
      </w:r>
    </w:p>
    <w:p w:rsidR="0062255F" w:rsidRPr="0062255F" w:rsidRDefault="0062255F" w:rsidP="0062255F"/>
    <w:p w:rsidR="0062255F" w:rsidRDefault="0062255F" w:rsidP="0062255F">
      <w:pPr>
        <w:pStyle w:val="Table"/>
      </w:pPr>
      <w:r>
        <w:t>1.</w:t>
      </w:r>
    </w:p>
    <w:tbl>
      <w:tblPr>
        <w:tblW w:w="0" w:type="auto"/>
        <w:tblInd w:w="468" w:type="dxa"/>
        <w:tblLayout w:type="fixed"/>
        <w:tblLook w:val="04A0" w:firstRow="1" w:lastRow="0" w:firstColumn="1" w:lastColumn="0" w:noHBand="0" w:noVBand="1"/>
      </w:tblPr>
      <w:tblGrid>
        <w:gridCol w:w="2250"/>
        <w:gridCol w:w="1170"/>
        <w:gridCol w:w="2520"/>
        <w:gridCol w:w="2520"/>
      </w:tblGrid>
      <w:tr w:rsidR="0062255F" w:rsidTr="0062255F">
        <w:tc>
          <w:tcPr>
            <w:tcW w:w="2250" w:type="dxa"/>
            <w:tcBorders>
              <w:top w:val="single" w:sz="4" w:space="0" w:color="auto"/>
              <w:left w:val="nil"/>
              <w:bottom w:val="single" w:sz="4" w:space="0" w:color="auto"/>
              <w:right w:val="nil"/>
            </w:tcBorders>
          </w:tcPr>
          <w:p w:rsidR="0062255F" w:rsidRDefault="0062255F">
            <w:pPr>
              <w:pStyle w:val="Table"/>
              <w:jc w:val="center"/>
            </w:pPr>
          </w:p>
          <w:p w:rsidR="0062255F" w:rsidRDefault="0062255F">
            <w:pPr>
              <w:pStyle w:val="Table"/>
            </w:pPr>
            <w:r>
              <w:t>Bicycle Type</w:t>
            </w:r>
          </w:p>
        </w:tc>
        <w:tc>
          <w:tcPr>
            <w:tcW w:w="1170" w:type="dxa"/>
            <w:tcBorders>
              <w:top w:val="single" w:sz="4" w:space="0" w:color="auto"/>
              <w:left w:val="nil"/>
              <w:bottom w:val="single" w:sz="4" w:space="0" w:color="auto"/>
              <w:right w:val="nil"/>
            </w:tcBorders>
            <w:hideMark/>
          </w:tcPr>
          <w:p w:rsidR="0062255F" w:rsidRDefault="0062255F">
            <w:pPr>
              <w:pStyle w:val="Table"/>
              <w:jc w:val="center"/>
            </w:pPr>
            <w:r>
              <w:t>Sales Price</w:t>
            </w:r>
          </w:p>
        </w:tc>
        <w:tc>
          <w:tcPr>
            <w:tcW w:w="2520" w:type="dxa"/>
            <w:tcBorders>
              <w:top w:val="single" w:sz="4" w:space="0" w:color="auto"/>
              <w:left w:val="nil"/>
              <w:bottom w:val="single" w:sz="4" w:space="0" w:color="auto"/>
              <w:right w:val="nil"/>
            </w:tcBorders>
            <w:hideMark/>
          </w:tcPr>
          <w:p w:rsidR="0062255F" w:rsidRDefault="0062255F">
            <w:pPr>
              <w:pStyle w:val="Table"/>
              <w:jc w:val="center"/>
            </w:pPr>
            <w:r>
              <w:t xml:space="preserve">Unit </w:t>
            </w:r>
            <w:r>
              <w:br/>
              <w:t>Variable Cost</w:t>
            </w:r>
          </w:p>
        </w:tc>
        <w:tc>
          <w:tcPr>
            <w:tcW w:w="2520" w:type="dxa"/>
            <w:tcBorders>
              <w:top w:val="single" w:sz="4" w:space="0" w:color="auto"/>
              <w:left w:val="nil"/>
              <w:bottom w:val="single" w:sz="4" w:space="0" w:color="auto"/>
              <w:right w:val="nil"/>
            </w:tcBorders>
            <w:hideMark/>
          </w:tcPr>
          <w:p w:rsidR="0062255F" w:rsidRDefault="0062255F">
            <w:pPr>
              <w:pStyle w:val="Table"/>
              <w:jc w:val="center"/>
            </w:pPr>
            <w:r>
              <w:t xml:space="preserve">Unit </w:t>
            </w:r>
            <w:r>
              <w:br/>
              <w:t>Contribution Margin</w:t>
            </w:r>
          </w:p>
        </w:tc>
      </w:tr>
      <w:tr w:rsidR="0062255F" w:rsidTr="0062255F">
        <w:tc>
          <w:tcPr>
            <w:tcW w:w="2250" w:type="dxa"/>
            <w:hideMark/>
          </w:tcPr>
          <w:p w:rsidR="0062255F" w:rsidRDefault="0062255F">
            <w:pPr>
              <w:pStyle w:val="Table"/>
              <w:tabs>
                <w:tab w:val="clear" w:pos="288"/>
                <w:tab w:val="clear" w:pos="576"/>
                <w:tab w:val="left" w:pos="720"/>
              </w:tabs>
            </w:pPr>
            <w:r>
              <w:t>High-quality</w:t>
            </w:r>
          </w:p>
        </w:tc>
        <w:tc>
          <w:tcPr>
            <w:tcW w:w="1170" w:type="dxa"/>
            <w:hideMark/>
          </w:tcPr>
          <w:p w:rsidR="0062255F" w:rsidRDefault="0062255F">
            <w:pPr>
              <w:pStyle w:val="Table"/>
              <w:tabs>
                <w:tab w:val="clear" w:pos="288"/>
                <w:tab w:val="clear" w:pos="576"/>
                <w:tab w:val="decimal" w:pos="702"/>
              </w:tabs>
            </w:pPr>
            <w:r>
              <w:t>$1,000</w:t>
            </w:r>
          </w:p>
        </w:tc>
        <w:tc>
          <w:tcPr>
            <w:tcW w:w="2520" w:type="dxa"/>
            <w:hideMark/>
          </w:tcPr>
          <w:p w:rsidR="0062255F" w:rsidRDefault="0062255F">
            <w:pPr>
              <w:pStyle w:val="Table"/>
              <w:tabs>
                <w:tab w:val="clear" w:pos="288"/>
                <w:tab w:val="clear" w:pos="576"/>
                <w:tab w:val="clear" w:pos="864"/>
                <w:tab w:val="clear" w:pos="1152"/>
                <w:tab w:val="clear" w:pos="1440"/>
                <w:tab w:val="right" w:pos="2052"/>
              </w:tabs>
            </w:pPr>
            <w:r>
              <w:tab/>
              <w:t>$600 ($550 + $50)</w:t>
            </w:r>
          </w:p>
        </w:tc>
        <w:tc>
          <w:tcPr>
            <w:tcW w:w="2520" w:type="dxa"/>
            <w:hideMark/>
          </w:tcPr>
          <w:p w:rsidR="0062255F" w:rsidRDefault="0062255F">
            <w:pPr>
              <w:pStyle w:val="Table"/>
              <w:tabs>
                <w:tab w:val="clear" w:pos="288"/>
                <w:tab w:val="clear" w:pos="576"/>
                <w:tab w:val="clear" w:pos="864"/>
                <w:tab w:val="clear" w:pos="1152"/>
                <w:tab w:val="decimal" w:pos="1332"/>
              </w:tabs>
            </w:pPr>
            <w:r>
              <w:t>$400</w:t>
            </w:r>
          </w:p>
        </w:tc>
      </w:tr>
      <w:tr w:rsidR="0062255F" w:rsidTr="0062255F">
        <w:tc>
          <w:tcPr>
            <w:tcW w:w="2250" w:type="dxa"/>
            <w:tcBorders>
              <w:top w:val="nil"/>
              <w:left w:val="nil"/>
              <w:bottom w:val="single" w:sz="4" w:space="0" w:color="auto"/>
              <w:right w:val="nil"/>
            </w:tcBorders>
            <w:hideMark/>
          </w:tcPr>
          <w:p w:rsidR="0062255F" w:rsidRDefault="0062255F">
            <w:pPr>
              <w:pStyle w:val="Table"/>
              <w:tabs>
                <w:tab w:val="clear" w:pos="288"/>
                <w:tab w:val="clear" w:pos="576"/>
                <w:tab w:val="left" w:pos="720"/>
              </w:tabs>
            </w:pPr>
            <w:r>
              <w:t>Medium-quality</w:t>
            </w:r>
          </w:p>
        </w:tc>
        <w:tc>
          <w:tcPr>
            <w:tcW w:w="1170" w:type="dxa"/>
            <w:tcBorders>
              <w:top w:val="nil"/>
              <w:left w:val="nil"/>
              <w:bottom w:val="single" w:sz="4" w:space="0" w:color="auto"/>
              <w:right w:val="nil"/>
            </w:tcBorders>
            <w:hideMark/>
          </w:tcPr>
          <w:p w:rsidR="0062255F" w:rsidRDefault="0062255F">
            <w:pPr>
              <w:pStyle w:val="Table"/>
              <w:tabs>
                <w:tab w:val="clear" w:pos="288"/>
                <w:tab w:val="clear" w:pos="576"/>
                <w:tab w:val="decimal" w:pos="702"/>
              </w:tabs>
            </w:pPr>
            <w:r>
              <w:t>600</w:t>
            </w:r>
          </w:p>
        </w:tc>
        <w:tc>
          <w:tcPr>
            <w:tcW w:w="2520" w:type="dxa"/>
            <w:tcBorders>
              <w:top w:val="nil"/>
              <w:left w:val="nil"/>
              <w:bottom w:val="single" w:sz="4" w:space="0" w:color="auto"/>
              <w:right w:val="nil"/>
            </w:tcBorders>
            <w:hideMark/>
          </w:tcPr>
          <w:p w:rsidR="0062255F" w:rsidRDefault="0062255F">
            <w:pPr>
              <w:pStyle w:val="Table"/>
              <w:tabs>
                <w:tab w:val="clear" w:pos="288"/>
                <w:tab w:val="clear" w:pos="576"/>
                <w:tab w:val="clear" w:pos="864"/>
                <w:tab w:val="clear" w:pos="1152"/>
                <w:tab w:val="clear" w:pos="1440"/>
                <w:tab w:val="right" w:pos="2052"/>
              </w:tabs>
            </w:pPr>
            <w:r>
              <w:tab/>
              <w:t>300 ($270 + $30)</w:t>
            </w:r>
          </w:p>
        </w:tc>
        <w:tc>
          <w:tcPr>
            <w:tcW w:w="2520" w:type="dxa"/>
            <w:tcBorders>
              <w:top w:val="nil"/>
              <w:left w:val="nil"/>
              <w:bottom w:val="single" w:sz="4" w:space="0" w:color="auto"/>
              <w:right w:val="nil"/>
            </w:tcBorders>
            <w:hideMark/>
          </w:tcPr>
          <w:p w:rsidR="0062255F" w:rsidRDefault="0062255F">
            <w:pPr>
              <w:pStyle w:val="Table"/>
              <w:tabs>
                <w:tab w:val="clear" w:pos="288"/>
                <w:tab w:val="clear" w:pos="576"/>
                <w:tab w:val="clear" w:pos="864"/>
                <w:tab w:val="clear" w:pos="1152"/>
                <w:tab w:val="decimal" w:pos="1332"/>
              </w:tabs>
            </w:pPr>
            <w:r>
              <w:t>300</w:t>
            </w:r>
          </w:p>
        </w:tc>
      </w:tr>
    </w:tbl>
    <w:p w:rsidR="0062255F" w:rsidRDefault="0062255F" w:rsidP="0062255F">
      <w:pPr>
        <w:rPr>
          <w:szCs w:val="20"/>
        </w:rPr>
      </w:pPr>
    </w:p>
    <w:tbl>
      <w:tblPr>
        <w:tblW w:w="0" w:type="auto"/>
        <w:tblLayout w:type="fixed"/>
        <w:tblLook w:val="04A0" w:firstRow="1" w:lastRow="0" w:firstColumn="1" w:lastColumn="0" w:noHBand="0" w:noVBand="1"/>
      </w:tblPr>
      <w:tblGrid>
        <w:gridCol w:w="468"/>
        <w:gridCol w:w="2700"/>
        <w:gridCol w:w="990"/>
        <w:gridCol w:w="90"/>
        <w:gridCol w:w="1710"/>
        <w:gridCol w:w="2160"/>
        <w:gridCol w:w="180"/>
        <w:gridCol w:w="1260"/>
      </w:tblGrid>
      <w:tr w:rsidR="0062255F" w:rsidTr="0062255F">
        <w:tc>
          <w:tcPr>
            <w:tcW w:w="468" w:type="dxa"/>
            <w:hideMark/>
          </w:tcPr>
          <w:p w:rsidR="0062255F" w:rsidRDefault="0062255F">
            <w:pPr>
              <w:pStyle w:val="Table"/>
            </w:pPr>
            <w:r>
              <w:t>2.</w:t>
            </w:r>
          </w:p>
        </w:tc>
        <w:tc>
          <w:tcPr>
            <w:tcW w:w="7830" w:type="dxa"/>
            <w:gridSpan w:val="6"/>
            <w:hideMark/>
          </w:tcPr>
          <w:p w:rsidR="0062255F" w:rsidRDefault="0062255F">
            <w:pPr>
              <w:pStyle w:val="Table"/>
            </w:pPr>
            <w:r>
              <w:t>Sales mix:</w:t>
            </w:r>
          </w:p>
        </w:tc>
        <w:tc>
          <w:tcPr>
            <w:tcW w:w="1260" w:type="dxa"/>
          </w:tcPr>
          <w:p w:rsidR="0062255F" w:rsidRDefault="0062255F">
            <w:pPr>
              <w:pStyle w:val="Table"/>
            </w:pPr>
          </w:p>
        </w:tc>
      </w:tr>
      <w:tr w:rsidR="0062255F" w:rsidTr="0062255F">
        <w:tc>
          <w:tcPr>
            <w:tcW w:w="468" w:type="dxa"/>
          </w:tcPr>
          <w:p w:rsidR="0062255F" w:rsidRDefault="0062255F">
            <w:pPr>
              <w:pStyle w:val="Table"/>
            </w:pPr>
          </w:p>
        </w:tc>
        <w:tc>
          <w:tcPr>
            <w:tcW w:w="7830" w:type="dxa"/>
            <w:gridSpan w:val="6"/>
          </w:tcPr>
          <w:p w:rsidR="0062255F" w:rsidRDefault="0062255F">
            <w:pPr>
              <w:pStyle w:val="Table"/>
              <w:tabs>
                <w:tab w:val="right" w:leader="dot" w:pos="7452"/>
              </w:tabs>
            </w:pPr>
          </w:p>
        </w:tc>
        <w:tc>
          <w:tcPr>
            <w:tcW w:w="1260" w:type="dxa"/>
          </w:tcPr>
          <w:p w:rsidR="0062255F" w:rsidRDefault="0062255F">
            <w:pPr>
              <w:pStyle w:val="Table"/>
            </w:pPr>
          </w:p>
        </w:tc>
      </w:tr>
      <w:tr w:rsidR="0062255F" w:rsidTr="0062255F">
        <w:tc>
          <w:tcPr>
            <w:tcW w:w="468" w:type="dxa"/>
          </w:tcPr>
          <w:p w:rsidR="0062255F" w:rsidRDefault="0062255F">
            <w:pPr>
              <w:pStyle w:val="Table"/>
            </w:pPr>
          </w:p>
        </w:tc>
        <w:tc>
          <w:tcPr>
            <w:tcW w:w="7830" w:type="dxa"/>
            <w:gridSpan w:val="6"/>
            <w:hideMark/>
          </w:tcPr>
          <w:p w:rsidR="0062255F" w:rsidRDefault="0062255F">
            <w:pPr>
              <w:pStyle w:val="Table"/>
              <w:tabs>
                <w:tab w:val="right" w:leader="dot" w:pos="7452"/>
              </w:tabs>
            </w:pPr>
            <w:r>
              <w:t>High-quality bicycles</w:t>
            </w:r>
            <w:r>
              <w:tab/>
            </w:r>
          </w:p>
        </w:tc>
        <w:tc>
          <w:tcPr>
            <w:tcW w:w="1260" w:type="dxa"/>
            <w:hideMark/>
          </w:tcPr>
          <w:p w:rsidR="0062255F" w:rsidRDefault="0062255F">
            <w:pPr>
              <w:pStyle w:val="Table"/>
            </w:pPr>
            <w:r>
              <w:t>30%</w:t>
            </w:r>
          </w:p>
        </w:tc>
      </w:tr>
      <w:tr w:rsidR="0062255F" w:rsidTr="0062255F">
        <w:tc>
          <w:tcPr>
            <w:tcW w:w="468" w:type="dxa"/>
          </w:tcPr>
          <w:p w:rsidR="0062255F" w:rsidRDefault="0062255F">
            <w:pPr>
              <w:pStyle w:val="Table"/>
            </w:pPr>
          </w:p>
        </w:tc>
        <w:tc>
          <w:tcPr>
            <w:tcW w:w="7830" w:type="dxa"/>
            <w:gridSpan w:val="6"/>
            <w:hideMark/>
          </w:tcPr>
          <w:p w:rsidR="0062255F" w:rsidRDefault="0062255F">
            <w:pPr>
              <w:pStyle w:val="Table"/>
              <w:tabs>
                <w:tab w:val="right" w:leader="dot" w:pos="7452"/>
              </w:tabs>
            </w:pPr>
            <w:r>
              <w:t>Medium-quality bicycles</w:t>
            </w:r>
            <w:r>
              <w:tab/>
            </w:r>
          </w:p>
        </w:tc>
        <w:tc>
          <w:tcPr>
            <w:tcW w:w="1260" w:type="dxa"/>
            <w:hideMark/>
          </w:tcPr>
          <w:p w:rsidR="0062255F" w:rsidRDefault="0062255F">
            <w:pPr>
              <w:pStyle w:val="Table"/>
            </w:pPr>
            <w:r>
              <w:t>70%</w:t>
            </w:r>
          </w:p>
        </w:tc>
      </w:tr>
      <w:tr w:rsidR="0062255F" w:rsidTr="0062255F">
        <w:trPr>
          <w:trHeight w:val="162"/>
        </w:trPr>
        <w:tc>
          <w:tcPr>
            <w:tcW w:w="468" w:type="dxa"/>
          </w:tcPr>
          <w:p w:rsidR="0062255F" w:rsidRDefault="0062255F">
            <w:pPr>
              <w:pStyle w:val="Table"/>
            </w:pPr>
          </w:p>
        </w:tc>
        <w:tc>
          <w:tcPr>
            <w:tcW w:w="2700" w:type="dxa"/>
          </w:tcPr>
          <w:p w:rsidR="0062255F" w:rsidRDefault="0062255F">
            <w:pPr>
              <w:pStyle w:val="Table"/>
              <w:jc w:val="center"/>
            </w:pPr>
          </w:p>
        </w:tc>
        <w:tc>
          <w:tcPr>
            <w:tcW w:w="5130" w:type="dxa"/>
            <w:gridSpan w:val="5"/>
          </w:tcPr>
          <w:p w:rsidR="0062255F" w:rsidRDefault="0062255F">
            <w:pPr>
              <w:pStyle w:val="Table"/>
            </w:pPr>
          </w:p>
        </w:tc>
        <w:tc>
          <w:tcPr>
            <w:tcW w:w="1260" w:type="dxa"/>
          </w:tcPr>
          <w:p w:rsidR="0062255F" w:rsidRDefault="0062255F">
            <w:pPr>
              <w:pStyle w:val="Table"/>
            </w:pPr>
          </w:p>
        </w:tc>
      </w:tr>
      <w:tr w:rsidR="0062255F" w:rsidTr="0062255F">
        <w:tc>
          <w:tcPr>
            <w:tcW w:w="468" w:type="dxa"/>
            <w:hideMark/>
          </w:tcPr>
          <w:p w:rsidR="0062255F" w:rsidRDefault="0062255F">
            <w:pPr>
              <w:pStyle w:val="Table"/>
              <w:spacing w:before="120"/>
            </w:pPr>
            <w:r>
              <w:t>3.</w:t>
            </w:r>
          </w:p>
        </w:tc>
        <w:tc>
          <w:tcPr>
            <w:tcW w:w="2700" w:type="dxa"/>
            <w:hideMark/>
          </w:tcPr>
          <w:p w:rsidR="0062255F" w:rsidRDefault="0062255F">
            <w:pPr>
              <w:pStyle w:val="Table"/>
              <w:jc w:val="center"/>
            </w:pPr>
            <w:r>
              <w:t xml:space="preserve">Weighted-average unit </w:t>
            </w:r>
            <w:r>
              <w:br/>
              <w:t>contribution margin</w:t>
            </w:r>
          </w:p>
        </w:tc>
        <w:tc>
          <w:tcPr>
            <w:tcW w:w="5130" w:type="dxa"/>
            <w:gridSpan w:val="5"/>
            <w:hideMark/>
          </w:tcPr>
          <w:p w:rsidR="0062255F" w:rsidRDefault="0062255F">
            <w:pPr>
              <w:pStyle w:val="Table"/>
              <w:spacing w:before="180"/>
            </w:pPr>
            <w:r>
              <w:t xml:space="preserve">= ($400 </w:t>
            </w:r>
            <w:r>
              <w:sym w:font="Symbol" w:char="F0B4"/>
            </w:r>
            <w:r>
              <w:t xml:space="preserve"> 30%) + ($300 </w:t>
            </w:r>
            <w:r>
              <w:sym w:font="Symbol" w:char="F0B4"/>
            </w:r>
            <w:r>
              <w:t xml:space="preserve"> 70%)</w:t>
            </w:r>
          </w:p>
        </w:tc>
        <w:tc>
          <w:tcPr>
            <w:tcW w:w="1260" w:type="dxa"/>
          </w:tcPr>
          <w:p w:rsidR="0062255F" w:rsidRDefault="0062255F">
            <w:pPr>
              <w:pStyle w:val="Table"/>
            </w:pPr>
          </w:p>
        </w:tc>
      </w:tr>
      <w:tr w:rsidR="0062255F" w:rsidTr="0062255F">
        <w:tc>
          <w:tcPr>
            <w:tcW w:w="468" w:type="dxa"/>
          </w:tcPr>
          <w:p w:rsidR="0062255F" w:rsidRDefault="0062255F">
            <w:pPr>
              <w:pStyle w:val="Table"/>
            </w:pPr>
          </w:p>
        </w:tc>
        <w:tc>
          <w:tcPr>
            <w:tcW w:w="2700" w:type="dxa"/>
          </w:tcPr>
          <w:p w:rsidR="0062255F" w:rsidRDefault="0062255F">
            <w:pPr>
              <w:pStyle w:val="Table"/>
            </w:pPr>
          </w:p>
        </w:tc>
        <w:tc>
          <w:tcPr>
            <w:tcW w:w="5130" w:type="dxa"/>
            <w:gridSpan w:val="5"/>
            <w:hideMark/>
          </w:tcPr>
          <w:p w:rsidR="0062255F" w:rsidRDefault="0062255F">
            <w:pPr>
              <w:pStyle w:val="Table"/>
            </w:pPr>
            <w:r>
              <w:t>= $330</w:t>
            </w:r>
          </w:p>
        </w:tc>
        <w:tc>
          <w:tcPr>
            <w:tcW w:w="1260" w:type="dxa"/>
          </w:tcPr>
          <w:p w:rsidR="0062255F" w:rsidRDefault="0062255F">
            <w:pPr>
              <w:pStyle w:val="Table"/>
            </w:pPr>
          </w:p>
        </w:tc>
      </w:tr>
      <w:tr w:rsidR="0062255F" w:rsidTr="0062255F">
        <w:tc>
          <w:tcPr>
            <w:tcW w:w="468" w:type="dxa"/>
            <w:hideMark/>
          </w:tcPr>
          <w:p w:rsidR="0062255F" w:rsidRDefault="0062255F">
            <w:pPr>
              <w:pStyle w:val="Table"/>
              <w:spacing w:before="180"/>
            </w:pPr>
            <w:r>
              <w:t>4.</w:t>
            </w:r>
          </w:p>
        </w:tc>
        <w:tc>
          <w:tcPr>
            <w:tcW w:w="7830" w:type="dxa"/>
            <w:gridSpan w:val="6"/>
            <w:hideMark/>
          </w:tcPr>
          <w:p w:rsidR="0062255F" w:rsidRDefault="0062255F">
            <w:pPr>
              <w:pStyle w:val="Table"/>
            </w:pPr>
            <w:r>
              <w:rPr>
                <w:position w:val="-64"/>
              </w:rPr>
              <w:object w:dxaOrig="7680" w:dyaOrig="1395">
                <v:shape id="_x0000_i1033" type="#_x0000_t75" style="width:384pt;height:69.75pt" o:ole="" fillcolor="window">
                  <v:imagedata r:id="rId22" o:title=""/>
                </v:shape>
                <o:OLEObject Type="Embed" ProgID="Equation.3" ShapeID="_x0000_i1033" DrawAspect="Content" ObjectID="_1479202912" r:id="rId23"/>
              </w:object>
            </w:r>
          </w:p>
        </w:tc>
        <w:tc>
          <w:tcPr>
            <w:tcW w:w="1260" w:type="dxa"/>
          </w:tcPr>
          <w:p w:rsidR="0062255F" w:rsidRDefault="0062255F">
            <w:pPr>
              <w:pStyle w:val="Table"/>
            </w:pPr>
          </w:p>
        </w:tc>
      </w:tr>
      <w:tr w:rsidR="0062255F" w:rsidTr="0062255F">
        <w:trPr>
          <w:gridBefore w:val="1"/>
          <w:wBefore w:w="468" w:type="dxa"/>
        </w:trPr>
        <w:tc>
          <w:tcPr>
            <w:tcW w:w="3780" w:type="dxa"/>
            <w:gridSpan w:val="3"/>
          </w:tcPr>
          <w:p w:rsidR="0062255F" w:rsidRDefault="0062255F">
            <w:pPr>
              <w:pStyle w:val="Table"/>
            </w:pPr>
          </w:p>
        </w:tc>
        <w:tc>
          <w:tcPr>
            <w:tcW w:w="1710" w:type="dxa"/>
          </w:tcPr>
          <w:p w:rsidR="0062255F" w:rsidRDefault="0062255F">
            <w:pPr>
              <w:pStyle w:val="Table"/>
              <w:jc w:val="center"/>
            </w:pPr>
          </w:p>
        </w:tc>
        <w:tc>
          <w:tcPr>
            <w:tcW w:w="2160" w:type="dxa"/>
          </w:tcPr>
          <w:p w:rsidR="0062255F" w:rsidRDefault="0062255F">
            <w:pPr>
              <w:pStyle w:val="Table"/>
              <w:jc w:val="center"/>
            </w:pPr>
          </w:p>
        </w:tc>
        <w:tc>
          <w:tcPr>
            <w:tcW w:w="1440" w:type="dxa"/>
            <w:gridSpan w:val="2"/>
          </w:tcPr>
          <w:p w:rsidR="0062255F" w:rsidRDefault="0062255F">
            <w:pPr>
              <w:pStyle w:val="Table"/>
              <w:jc w:val="center"/>
            </w:pPr>
          </w:p>
        </w:tc>
      </w:tr>
      <w:tr w:rsidR="0062255F" w:rsidTr="0062255F">
        <w:trPr>
          <w:gridBefore w:val="1"/>
          <w:wBefore w:w="468" w:type="dxa"/>
        </w:trPr>
        <w:tc>
          <w:tcPr>
            <w:tcW w:w="3780" w:type="dxa"/>
            <w:gridSpan w:val="3"/>
            <w:tcBorders>
              <w:top w:val="single" w:sz="4" w:space="0" w:color="auto"/>
              <w:left w:val="nil"/>
              <w:bottom w:val="single" w:sz="4" w:space="0" w:color="auto"/>
              <w:right w:val="nil"/>
            </w:tcBorders>
            <w:hideMark/>
          </w:tcPr>
          <w:p w:rsidR="0062255F" w:rsidRDefault="0062255F">
            <w:pPr>
              <w:pStyle w:val="Table"/>
            </w:pPr>
            <w:r>
              <w:br/>
              <w:t>Bicycle Type</w:t>
            </w:r>
          </w:p>
        </w:tc>
        <w:tc>
          <w:tcPr>
            <w:tcW w:w="1710" w:type="dxa"/>
            <w:tcBorders>
              <w:top w:val="single" w:sz="4" w:space="0" w:color="auto"/>
              <w:left w:val="nil"/>
              <w:bottom w:val="single" w:sz="4" w:space="0" w:color="auto"/>
              <w:right w:val="nil"/>
            </w:tcBorders>
            <w:hideMark/>
          </w:tcPr>
          <w:p w:rsidR="0062255F" w:rsidRDefault="0062255F">
            <w:pPr>
              <w:pStyle w:val="Table"/>
              <w:jc w:val="center"/>
            </w:pPr>
            <w:r>
              <w:t>Break-Even Sales Volume</w:t>
            </w:r>
          </w:p>
        </w:tc>
        <w:tc>
          <w:tcPr>
            <w:tcW w:w="2160" w:type="dxa"/>
            <w:tcBorders>
              <w:top w:val="single" w:sz="4" w:space="0" w:color="auto"/>
              <w:left w:val="nil"/>
              <w:bottom w:val="single" w:sz="4" w:space="0" w:color="auto"/>
              <w:right w:val="nil"/>
            </w:tcBorders>
          </w:tcPr>
          <w:p w:rsidR="0062255F" w:rsidRDefault="0062255F">
            <w:pPr>
              <w:pStyle w:val="Table"/>
              <w:jc w:val="center"/>
            </w:pPr>
          </w:p>
          <w:p w:rsidR="0062255F" w:rsidRDefault="0062255F">
            <w:pPr>
              <w:pStyle w:val="Table"/>
              <w:jc w:val="center"/>
            </w:pPr>
            <w:r>
              <w:t>Sales Price</w:t>
            </w:r>
          </w:p>
        </w:tc>
        <w:tc>
          <w:tcPr>
            <w:tcW w:w="1440" w:type="dxa"/>
            <w:gridSpan w:val="2"/>
            <w:tcBorders>
              <w:top w:val="single" w:sz="4" w:space="0" w:color="auto"/>
              <w:left w:val="nil"/>
              <w:bottom w:val="single" w:sz="4" w:space="0" w:color="auto"/>
              <w:right w:val="nil"/>
            </w:tcBorders>
            <w:hideMark/>
          </w:tcPr>
          <w:p w:rsidR="0062255F" w:rsidRDefault="0062255F">
            <w:pPr>
              <w:pStyle w:val="Table"/>
              <w:jc w:val="center"/>
            </w:pPr>
            <w:r>
              <w:t>Sales Revenue</w:t>
            </w:r>
          </w:p>
        </w:tc>
      </w:tr>
      <w:tr w:rsidR="0062255F" w:rsidTr="0062255F">
        <w:trPr>
          <w:gridBefore w:val="1"/>
          <w:wBefore w:w="468" w:type="dxa"/>
        </w:trPr>
        <w:tc>
          <w:tcPr>
            <w:tcW w:w="3780" w:type="dxa"/>
            <w:gridSpan w:val="3"/>
            <w:hideMark/>
          </w:tcPr>
          <w:p w:rsidR="0062255F" w:rsidRDefault="0062255F">
            <w:pPr>
              <w:pStyle w:val="Table"/>
            </w:pPr>
            <w:r>
              <w:t>High-quality bicycles</w:t>
            </w:r>
          </w:p>
        </w:tc>
        <w:tc>
          <w:tcPr>
            <w:tcW w:w="1710" w:type="dxa"/>
            <w:hideMark/>
          </w:tcPr>
          <w:p w:rsidR="0062255F" w:rsidRDefault="0062255F">
            <w:pPr>
              <w:pStyle w:val="Table"/>
            </w:pPr>
            <w:r>
              <w:t xml:space="preserve">135 (450 </w:t>
            </w:r>
            <w:r>
              <w:sym w:font="Symbol" w:char="F0B4"/>
            </w:r>
            <w:r>
              <w:t xml:space="preserve"> .30)</w:t>
            </w:r>
          </w:p>
        </w:tc>
        <w:tc>
          <w:tcPr>
            <w:tcW w:w="2160" w:type="dxa"/>
            <w:hideMark/>
          </w:tcPr>
          <w:p w:rsidR="0062255F" w:rsidRDefault="0062255F">
            <w:pPr>
              <w:pStyle w:val="Table"/>
              <w:jc w:val="center"/>
            </w:pPr>
            <w:r>
              <w:t xml:space="preserve">$1,000  </w:t>
            </w:r>
            <w:r>
              <w:t> </w:t>
            </w:r>
          </w:p>
        </w:tc>
        <w:tc>
          <w:tcPr>
            <w:tcW w:w="1440" w:type="dxa"/>
            <w:gridSpan w:val="2"/>
            <w:hideMark/>
          </w:tcPr>
          <w:p w:rsidR="0062255F" w:rsidRDefault="0062255F">
            <w:pPr>
              <w:pStyle w:val="Table"/>
            </w:pPr>
            <w:r>
              <w:tab/>
              <w:t>$135,000</w:t>
            </w:r>
          </w:p>
        </w:tc>
      </w:tr>
      <w:tr w:rsidR="0062255F" w:rsidTr="0062255F">
        <w:trPr>
          <w:gridBefore w:val="1"/>
          <w:wBefore w:w="468" w:type="dxa"/>
        </w:trPr>
        <w:tc>
          <w:tcPr>
            <w:tcW w:w="3780" w:type="dxa"/>
            <w:gridSpan w:val="3"/>
            <w:hideMark/>
          </w:tcPr>
          <w:p w:rsidR="0062255F" w:rsidRDefault="0062255F">
            <w:pPr>
              <w:pStyle w:val="Table"/>
            </w:pPr>
            <w:r>
              <w:t>Medium-quality bicycles</w:t>
            </w:r>
          </w:p>
        </w:tc>
        <w:tc>
          <w:tcPr>
            <w:tcW w:w="1710" w:type="dxa"/>
            <w:hideMark/>
          </w:tcPr>
          <w:p w:rsidR="0062255F" w:rsidRDefault="0062255F">
            <w:pPr>
              <w:pStyle w:val="Table"/>
            </w:pPr>
            <w:r>
              <w:t xml:space="preserve">315 (450 </w:t>
            </w:r>
            <w:r>
              <w:sym w:font="Symbol" w:char="F0B4"/>
            </w:r>
            <w:r>
              <w:t xml:space="preserve"> .70)</w:t>
            </w:r>
          </w:p>
        </w:tc>
        <w:tc>
          <w:tcPr>
            <w:tcW w:w="2160" w:type="dxa"/>
            <w:hideMark/>
          </w:tcPr>
          <w:p w:rsidR="0062255F" w:rsidRDefault="0062255F">
            <w:pPr>
              <w:pStyle w:val="Table"/>
              <w:jc w:val="center"/>
            </w:pPr>
            <w:r>
              <w:t xml:space="preserve">     600</w:t>
            </w:r>
          </w:p>
        </w:tc>
        <w:tc>
          <w:tcPr>
            <w:tcW w:w="1440" w:type="dxa"/>
            <w:gridSpan w:val="2"/>
            <w:hideMark/>
          </w:tcPr>
          <w:p w:rsidR="0062255F" w:rsidRDefault="0062255F">
            <w:pPr>
              <w:pStyle w:val="Table"/>
              <w:rPr>
                <w:u w:val="single"/>
              </w:rPr>
            </w:pPr>
            <w:r>
              <w:tab/>
            </w:r>
            <w:r>
              <w:rPr>
                <w:u w:val="single"/>
              </w:rPr>
              <w:t xml:space="preserve">  189,000</w:t>
            </w:r>
          </w:p>
        </w:tc>
      </w:tr>
      <w:tr w:rsidR="0062255F" w:rsidTr="0062255F">
        <w:trPr>
          <w:gridBefore w:val="1"/>
          <w:wBefore w:w="468" w:type="dxa"/>
          <w:trHeight w:val="396"/>
        </w:trPr>
        <w:tc>
          <w:tcPr>
            <w:tcW w:w="3690" w:type="dxa"/>
            <w:gridSpan w:val="2"/>
            <w:tcBorders>
              <w:top w:val="nil"/>
              <w:left w:val="nil"/>
              <w:bottom w:val="single" w:sz="4" w:space="0" w:color="auto"/>
              <w:right w:val="nil"/>
            </w:tcBorders>
            <w:hideMark/>
          </w:tcPr>
          <w:p w:rsidR="0062255F" w:rsidRDefault="0062255F">
            <w:pPr>
              <w:pStyle w:val="Table"/>
            </w:pPr>
            <w:r>
              <w:t>Total</w:t>
            </w:r>
          </w:p>
        </w:tc>
        <w:tc>
          <w:tcPr>
            <w:tcW w:w="1800" w:type="dxa"/>
            <w:gridSpan w:val="2"/>
            <w:tcBorders>
              <w:top w:val="nil"/>
              <w:left w:val="nil"/>
              <w:bottom w:val="single" w:sz="4" w:space="0" w:color="auto"/>
              <w:right w:val="nil"/>
            </w:tcBorders>
          </w:tcPr>
          <w:p w:rsidR="0062255F" w:rsidRDefault="0062255F">
            <w:pPr>
              <w:pStyle w:val="Table"/>
            </w:pPr>
          </w:p>
        </w:tc>
        <w:tc>
          <w:tcPr>
            <w:tcW w:w="2160" w:type="dxa"/>
            <w:tcBorders>
              <w:top w:val="nil"/>
              <w:left w:val="nil"/>
              <w:bottom w:val="single" w:sz="4" w:space="0" w:color="auto"/>
              <w:right w:val="nil"/>
            </w:tcBorders>
          </w:tcPr>
          <w:p w:rsidR="0062255F" w:rsidRDefault="0062255F">
            <w:pPr>
              <w:pStyle w:val="Table"/>
            </w:pPr>
          </w:p>
        </w:tc>
        <w:tc>
          <w:tcPr>
            <w:tcW w:w="1440" w:type="dxa"/>
            <w:gridSpan w:val="2"/>
            <w:tcBorders>
              <w:top w:val="nil"/>
              <w:left w:val="nil"/>
              <w:bottom w:val="single" w:sz="4" w:space="0" w:color="auto"/>
              <w:right w:val="nil"/>
            </w:tcBorders>
            <w:hideMark/>
          </w:tcPr>
          <w:p w:rsidR="0062255F" w:rsidRDefault="0062255F">
            <w:pPr>
              <w:pStyle w:val="Table"/>
              <w:rPr>
                <w:u w:val="double"/>
              </w:rPr>
            </w:pPr>
            <w:r>
              <w:tab/>
            </w:r>
            <w:r>
              <w:rPr>
                <w:u w:val="double"/>
              </w:rPr>
              <w:t>$324,000</w:t>
            </w:r>
          </w:p>
        </w:tc>
      </w:tr>
    </w:tbl>
    <w:p w:rsidR="0062255F" w:rsidRDefault="0062255F" w:rsidP="0062255F">
      <w:pPr>
        <w:pStyle w:val="TableFinancial"/>
      </w:pPr>
    </w:p>
    <w:p w:rsidR="0062255F" w:rsidRDefault="0062255F" w:rsidP="0062255F">
      <w:pPr>
        <w:pStyle w:val="Outline1"/>
        <w:spacing w:before="0"/>
      </w:pPr>
      <w:r>
        <w:t>5.</w:t>
      </w:r>
      <w:r>
        <w:tab/>
        <w:t>Target net income:</w:t>
      </w:r>
    </w:p>
    <w:p w:rsidR="0062255F" w:rsidRDefault="0062255F" w:rsidP="0062255F">
      <w:pPr>
        <w:pStyle w:val="Outline2"/>
        <w:spacing w:before="0"/>
      </w:pPr>
      <w:r>
        <w:rPr>
          <w:position w:val="-46"/>
        </w:rPr>
        <w:object w:dxaOrig="8055" w:dyaOrig="1035">
          <v:shape id="_x0000_i1034" type="#_x0000_t75" style="width:402.75pt;height:51.75pt" o:ole="" fillcolor="window">
            <v:imagedata r:id="rId24" o:title=""/>
          </v:shape>
          <o:OLEObject Type="Embed" ProgID="Equation.3" ShapeID="_x0000_i1034" DrawAspect="Content" ObjectID="_1479202913" r:id="rId25"/>
        </w:object>
      </w:r>
    </w:p>
    <w:p w:rsidR="0062255F" w:rsidRDefault="0062255F" w:rsidP="0062255F">
      <w:pPr>
        <w:pStyle w:val="Outline1"/>
        <w:spacing w:before="0"/>
      </w:pPr>
      <w:r>
        <w:tab/>
        <w:t>This means that the shop will need to sell the following volume of each type of bicycle to earn the target net income:</w:t>
      </w:r>
    </w:p>
    <w:p w:rsidR="0062255F" w:rsidRDefault="0062255F" w:rsidP="0062255F">
      <w:pPr>
        <w:pStyle w:val="Outline2"/>
        <w:tabs>
          <w:tab w:val="clear" w:pos="720"/>
          <w:tab w:val="clear" w:pos="1080"/>
          <w:tab w:val="clear" w:pos="1440"/>
          <w:tab w:val="clear" w:pos="1800"/>
          <w:tab w:val="clear" w:pos="2160"/>
          <w:tab w:val="clear" w:pos="2520"/>
          <w:tab w:val="clear" w:pos="2880"/>
          <w:tab w:val="clear" w:pos="3240"/>
          <w:tab w:val="left" w:leader="dot" w:pos="6480"/>
          <w:tab w:val="left" w:pos="6840"/>
        </w:tabs>
        <w:spacing w:before="0" w:after="0"/>
      </w:pPr>
      <w:r>
        <w:t>High-quality</w:t>
      </w:r>
      <w:r>
        <w:tab/>
      </w:r>
      <w:r>
        <w:tab/>
        <w:t xml:space="preserve">225 (750 </w:t>
      </w:r>
      <w:r>
        <w:sym w:font="Symbol" w:char="F0B4"/>
      </w:r>
      <w:r>
        <w:t xml:space="preserve"> .30)</w:t>
      </w:r>
    </w:p>
    <w:p w:rsidR="0062255F" w:rsidRDefault="0062255F" w:rsidP="0062255F">
      <w:pPr>
        <w:pStyle w:val="Outline2"/>
        <w:tabs>
          <w:tab w:val="clear" w:pos="720"/>
          <w:tab w:val="clear" w:pos="1080"/>
          <w:tab w:val="clear" w:pos="1440"/>
          <w:tab w:val="clear" w:pos="1800"/>
          <w:tab w:val="clear" w:pos="2160"/>
          <w:tab w:val="clear" w:pos="2520"/>
          <w:tab w:val="clear" w:pos="2880"/>
          <w:tab w:val="clear" w:pos="3240"/>
          <w:tab w:val="left" w:leader="dot" w:pos="6480"/>
          <w:tab w:val="left" w:pos="6840"/>
        </w:tabs>
        <w:spacing w:before="0" w:after="0"/>
      </w:pPr>
      <w:r>
        <w:t>Medium-quality</w:t>
      </w:r>
      <w:r>
        <w:tab/>
      </w:r>
      <w:r>
        <w:tab/>
        <w:t xml:space="preserve">525 (750 </w:t>
      </w:r>
      <w:r>
        <w:sym w:font="Symbol" w:char="F0B4"/>
      </w:r>
      <w:r>
        <w:t xml:space="preserve"> .70)</w:t>
      </w:r>
    </w:p>
    <w:p w:rsidR="0062255F" w:rsidRDefault="0062255F">
      <w:r>
        <w:br w:type="page"/>
      </w:r>
    </w:p>
    <w:p w:rsidR="0062255F" w:rsidRDefault="0062255F" w:rsidP="0062255F">
      <w:pPr>
        <w:pStyle w:val="Heading1"/>
      </w:pPr>
      <w:r>
        <w:lastRenderedPageBreak/>
        <w:t>SOLUTIONS to ASSIGNED PROBLEMS</w:t>
      </w:r>
    </w:p>
    <w:p w:rsidR="0062255F" w:rsidRPr="0062255F" w:rsidRDefault="0062255F" w:rsidP="0062255F">
      <w:pPr>
        <w:spacing w:after="0" w:line="240" w:lineRule="auto"/>
        <w:jc w:val="both"/>
        <w:rPr>
          <w:rFonts w:ascii="Arial Narrow" w:eastAsia="Times New Roman" w:hAnsi="Arial Narrow" w:cs="Times New Roman"/>
          <w:b/>
          <w:i/>
          <w:sz w:val="26"/>
          <w:szCs w:val="20"/>
        </w:rPr>
      </w:pPr>
      <w:r w:rsidRPr="0062255F">
        <w:rPr>
          <w:rFonts w:ascii="Arial Narrow" w:eastAsia="Times New Roman" w:hAnsi="Arial Narrow" w:cs="Times New Roman"/>
          <w:b/>
          <w:sz w:val="26"/>
          <w:szCs w:val="20"/>
        </w:rPr>
        <w:t xml:space="preserve">PROBLEM 7-37 </w:t>
      </w:r>
    </w:p>
    <w:p w:rsidR="0062255F" w:rsidRPr="0062255F" w:rsidRDefault="0062255F" w:rsidP="0062255F">
      <w:pPr>
        <w:spacing w:after="0" w:line="240" w:lineRule="auto"/>
        <w:jc w:val="both"/>
        <w:rPr>
          <w:rFonts w:ascii="Arial Narrow" w:eastAsia="Times New Roman" w:hAnsi="Arial Narrow" w:cs="Times New Roman"/>
          <w:b/>
          <w:sz w:val="26"/>
          <w:szCs w:val="20"/>
        </w:rPr>
      </w:pPr>
    </w:p>
    <w:p w:rsidR="0062255F" w:rsidRPr="0062255F" w:rsidRDefault="0062255F" w:rsidP="0062255F">
      <w:pPr>
        <w:numPr>
          <w:ilvl w:val="0"/>
          <w:numId w:val="3"/>
        </w:num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Unit contribution margin:</w:t>
      </w:r>
    </w:p>
    <w:tbl>
      <w:tblPr>
        <w:tblW w:w="0" w:type="auto"/>
        <w:tblInd w:w="1548" w:type="dxa"/>
        <w:tblLayout w:type="fixed"/>
        <w:tblLook w:val="04A0" w:firstRow="1" w:lastRow="0" w:firstColumn="1" w:lastColumn="0" w:noHBand="0" w:noVBand="1"/>
      </w:tblPr>
      <w:tblGrid>
        <w:gridCol w:w="4140"/>
        <w:gridCol w:w="990"/>
        <w:gridCol w:w="900"/>
      </w:tblGrid>
      <w:tr w:rsidR="0062255F" w:rsidRPr="0062255F" w:rsidTr="0062255F">
        <w:tc>
          <w:tcPr>
            <w:tcW w:w="414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Sales price…………………………………</w:t>
            </w:r>
          </w:p>
        </w:tc>
        <w:tc>
          <w:tcPr>
            <w:tcW w:w="990" w:type="dxa"/>
          </w:tcPr>
          <w:p w:rsidR="0062255F" w:rsidRPr="0062255F" w:rsidRDefault="0062255F" w:rsidP="0062255F">
            <w:pPr>
              <w:spacing w:after="0" w:line="240" w:lineRule="auto"/>
              <w:jc w:val="both"/>
              <w:rPr>
                <w:rFonts w:ascii="Arial Narrow" w:eastAsia="Times New Roman" w:hAnsi="Arial Narrow" w:cs="Times New Roman"/>
                <w:b/>
                <w:sz w:val="26"/>
                <w:szCs w:val="20"/>
              </w:rPr>
            </w:pPr>
          </w:p>
        </w:tc>
        <w:tc>
          <w:tcPr>
            <w:tcW w:w="90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$32.00</w:t>
            </w:r>
          </w:p>
        </w:tc>
      </w:tr>
      <w:tr w:rsidR="0062255F" w:rsidRPr="0062255F" w:rsidTr="0062255F">
        <w:trPr>
          <w:trHeight w:val="243"/>
        </w:trPr>
        <w:tc>
          <w:tcPr>
            <w:tcW w:w="414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Less variable costs:</w:t>
            </w:r>
          </w:p>
        </w:tc>
        <w:tc>
          <w:tcPr>
            <w:tcW w:w="990" w:type="dxa"/>
          </w:tcPr>
          <w:p w:rsidR="0062255F" w:rsidRPr="0062255F" w:rsidRDefault="0062255F" w:rsidP="0062255F">
            <w:pPr>
              <w:spacing w:after="0" w:line="240" w:lineRule="auto"/>
              <w:jc w:val="both"/>
              <w:rPr>
                <w:rFonts w:ascii="Arial Narrow" w:eastAsia="Times New Roman" w:hAnsi="Arial Narrow" w:cs="Times New Roman"/>
                <w:b/>
                <w:sz w:val="26"/>
                <w:szCs w:val="20"/>
              </w:rPr>
            </w:pPr>
          </w:p>
        </w:tc>
        <w:tc>
          <w:tcPr>
            <w:tcW w:w="900" w:type="dxa"/>
          </w:tcPr>
          <w:p w:rsidR="0062255F" w:rsidRPr="0062255F" w:rsidRDefault="0062255F" w:rsidP="0062255F">
            <w:pPr>
              <w:spacing w:after="0" w:line="240" w:lineRule="auto"/>
              <w:jc w:val="both"/>
              <w:rPr>
                <w:rFonts w:ascii="Arial Narrow" w:eastAsia="Times New Roman" w:hAnsi="Arial Narrow" w:cs="Times New Roman"/>
                <w:b/>
                <w:sz w:val="26"/>
                <w:szCs w:val="20"/>
              </w:rPr>
            </w:pPr>
          </w:p>
        </w:tc>
      </w:tr>
      <w:tr w:rsidR="0062255F" w:rsidRPr="0062255F" w:rsidTr="0062255F">
        <w:tc>
          <w:tcPr>
            <w:tcW w:w="4140" w:type="dxa"/>
            <w:hideMark/>
          </w:tcPr>
          <w:p w:rsidR="0062255F" w:rsidRPr="0062255F" w:rsidRDefault="0062255F" w:rsidP="0062255F">
            <w:pPr>
              <w:spacing w:after="0" w:line="240" w:lineRule="auto"/>
              <w:ind w:firstLine="342"/>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Sales commissions ($32 x 5%)……</w:t>
            </w:r>
          </w:p>
        </w:tc>
        <w:tc>
          <w:tcPr>
            <w:tcW w:w="99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  1.60</w:t>
            </w:r>
          </w:p>
        </w:tc>
        <w:tc>
          <w:tcPr>
            <w:tcW w:w="900" w:type="dxa"/>
          </w:tcPr>
          <w:p w:rsidR="0062255F" w:rsidRPr="0062255F" w:rsidRDefault="0062255F" w:rsidP="0062255F">
            <w:pPr>
              <w:spacing w:after="0" w:line="240" w:lineRule="auto"/>
              <w:jc w:val="both"/>
              <w:rPr>
                <w:rFonts w:ascii="Arial Narrow" w:eastAsia="Times New Roman" w:hAnsi="Arial Narrow" w:cs="Times New Roman"/>
                <w:b/>
                <w:sz w:val="26"/>
                <w:szCs w:val="20"/>
              </w:rPr>
            </w:pPr>
          </w:p>
        </w:tc>
      </w:tr>
      <w:tr w:rsidR="0062255F" w:rsidRPr="0062255F" w:rsidTr="0062255F">
        <w:tc>
          <w:tcPr>
            <w:tcW w:w="4140" w:type="dxa"/>
            <w:hideMark/>
          </w:tcPr>
          <w:p w:rsidR="0062255F" w:rsidRPr="0062255F" w:rsidRDefault="0062255F" w:rsidP="0062255F">
            <w:pPr>
              <w:spacing w:after="0" w:line="240" w:lineRule="auto"/>
              <w:ind w:firstLine="342"/>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System variable costs………………</w:t>
            </w:r>
          </w:p>
        </w:tc>
        <w:tc>
          <w:tcPr>
            <w:tcW w:w="99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r w:rsidRPr="0062255F">
              <w:rPr>
                <w:rFonts w:ascii="Arial Narrow" w:eastAsia="Times New Roman" w:hAnsi="Arial Narrow" w:cs="Times New Roman"/>
                <w:b/>
                <w:sz w:val="26"/>
                <w:szCs w:val="20"/>
                <w:u w:val="single"/>
              </w:rPr>
              <w:t xml:space="preserve">    8.00</w:t>
            </w:r>
          </w:p>
        </w:tc>
        <w:tc>
          <w:tcPr>
            <w:tcW w:w="90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r w:rsidRPr="0062255F">
              <w:rPr>
                <w:rFonts w:ascii="Arial Narrow" w:eastAsia="Times New Roman" w:hAnsi="Arial Narrow" w:cs="Times New Roman"/>
                <w:b/>
                <w:sz w:val="26"/>
                <w:szCs w:val="20"/>
                <w:u w:val="single"/>
              </w:rPr>
              <w:t xml:space="preserve">    9.60</w:t>
            </w:r>
          </w:p>
        </w:tc>
      </w:tr>
      <w:tr w:rsidR="0062255F" w:rsidRPr="0062255F" w:rsidTr="0062255F">
        <w:tc>
          <w:tcPr>
            <w:tcW w:w="414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Unit contribution margin………………..</w:t>
            </w:r>
          </w:p>
        </w:tc>
        <w:tc>
          <w:tcPr>
            <w:tcW w:w="990" w:type="dxa"/>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p>
        </w:tc>
        <w:tc>
          <w:tcPr>
            <w:tcW w:w="90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u w:val="double"/>
              </w:rPr>
            </w:pPr>
            <w:r w:rsidRPr="0062255F">
              <w:rPr>
                <w:rFonts w:ascii="Arial Narrow" w:eastAsia="Times New Roman" w:hAnsi="Arial Narrow" w:cs="Times New Roman"/>
                <w:b/>
                <w:sz w:val="26"/>
                <w:szCs w:val="20"/>
                <w:u w:val="double"/>
              </w:rPr>
              <w:t>$22.40</w:t>
            </w:r>
          </w:p>
        </w:tc>
      </w:tr>
    </w:tbl>
    <w:p w:rsidR="0062255F" w:rsidRPr="0062255F" w:rsidRDefault="0062255F" w:rsidP="0062255F">
      <w:pPr>
        <w:spacing w:after="0" w:line="240" w:lineRule="auto"/>
        <w:ind w:left="1440"/>
        <w:jc w:val="both"/>
        <w:rPr>
          <w:rFonts w:ascii="Arial Narrow" w:eastAsia="Times New Roman" w:hAnsi="Arial Narrow" w:cs="Times New Roman"/>
          <w:b/>
          <w:sz w:val="26"/>
          <w:szCs w:val="20"/>
        </w:rPr>
      </w:pPr>
    </w:p>
    <w:p w:rsidR="0062255F" w:rsidRPr="0062255F" w:rsidRDefault="0062255F" w:rsidP="0062255F">
      <w:pPr>
        <w:spacing w:after="0" w:line="240" w:lineRule="auto"/>
        <w:ind w:left="1440" w:hanging="720"/>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Break-even point = fixed costs ÷ unit contribution margin</w:t>
      </w:r>
    </w:p>
    <w:p w:rsidR="0062255F" w:rsidRPr="0062255F" w:rsidRDefault="0062255F" w:rsidP="0062255F">
      <w:pPr>
        <w:spacing w:after="0" w:line="240" w:lineRule="auto"/>
        <w:ind w:left="2520" w:hanging="1800"/>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ab/>
        <w:t>= $1,971,200 ÷ $22.40</w:t>
      </w:r>
    </w:p>
    <w:p w:rsidR="0062255F" w:rsidRPr="0062255F" w:rsidRDefault="0062255F" w:rsidP="0062255F">
      <w:pPr>
        <w:spacing w:after="0" w:line="240" w:lineRule="auto"/>
        <w:ind w:left="2520" w:hanging="1800"/>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ab/>
        <w:t>= 88,000 units</w:t>
      </w:r>
      <w:r w:rsidRPr="0062255F">
        <w:rPr>
          <w:rFonts w:ascii="Arial Narrow" w:eastAsia="Times New Roman" w:hAnsi="Arial Narrow" w:cs="Times New Roman"/>
          <w:b/>
          <w:sz w:val="26"/>
          <w:szCs w:val="20"/>
        </w:rPr>
        <w:tab/>
      </w:r>
    </w:p>
    <w:p w:rsidR="0062255F" w:rsidRPr="0062255F" w:rsidRDefault="0062255F" w:rsidP="0062255F">
      <w:pPr>
        <w:spacing w:after="0" w:line="240" w:lineRule="auto"/>
        <w:ind w:left="2520" w:hanging="1800"/>
        <w:jc w:val="both"/>
        <w:rPr>
          <w:rFonts w:ascii="Arial Narrow" w:eastAsia="Times New Roman" w:hAnsi="Arial Narrow" w:cs="Times New Roman"/>
          <w:b/>
          <w:sz w:val="26"/>
          <w:szCs w:val="20"/>
        </w:rPr>
      </w:pPr>
    </w:p>
    <w:p w:rsidR="0062255F" w:rsidRPr="0062255F" w:rsidRDefault="0062255F" w:rsidP="0062255F">
      <w:pPr>
        <w:numPr>
          <w:ilvl w:val="0"/>
          <w:numId w:val="3"/>
        </w:num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Model B is more profitable when sales and production average 184,000 units.</w:t>
      </w:r>
    </w:p>
    <w:p w:rsidR="0062255F" w:rsidRPr="0062255F" w:rsidRDefault="0062255F" w:rsidP="0062255F">
      <w:pPr>
        <w:spacing w:after="0" w:line="240" w:lineRule="auto"/>
        <w:jc w:val="both"/>
        <w:rPr>
          <w:rFonts w:ascii="Arial Narrow" w:eastAsia="Times New Roman" w:hAnsi="Arial Narrow" w:cs="Times New Roman"/>
          <w:b/>
          <w:sz w:val="26"/>
          <w:szCs w:val="20"/>
        </w:rPr>
      </w:pPr>
    </w:p>
    <w:tbl>
      <w:tblPr>
        <w:tblW w:w="0" w:type="auto"/>
        <w:tblInd w:w="1368" w:type="dxa"/>
        <w:tblLayout w:type="fixed"/>
        <w:tblLook w:val="04A0" w:firstRow="1" w:lastRow="0" w:firstColumn="1" w:lastColumn="0" w:noHBand="0" w:noVBand="1"/>
      </w:tblPr>
      <w:tblGrid>
        <w:gridCol w:w="4770"/>
        <w:gridCol w:w="1350"/>
        <w:gridCol w:w="1350"/>
      </w:tblGrid>
      <w:tr w:rsidR="0062255F" w:rsidRPr="0062255F" w:rsidTr="0062255F">
        <w:tc>
          <w:tcPr>
            <w:tcW w:w="4770" w:type="dxa"/>
          </w:tcPr>
          <w:p w:rsidR="0062255F" w:rsidRPr="0062255F" w:rsidRDefault="0062255F" w:rsidP="0062255F">
            <w:pPr>
              <w:spacing w:after="0" w:line="240" w:lineRule="auto"/>
              <w:jc w:val="both"/>
              <w:rPr>
                <w:rFonts w:ascii="Arial Narrow" w:eastAsia="Times New Roman" w:hAnsi="Arial Narrow" w:cs="Times New Roman"/>
                <w:b/>
                <w:sz w:val="26"/>
                <w:szCs w:val="20"/>
              </w:rPr>
            </w:pPr>
          </w:p>
        </w:tc>
        <w:tc>
          <w:tcPr>
            <w:tcW w:w="1350" w:type="dxa"/>
            <w:hideMark/>
          </w:tcPr>
          <w:p w:rsidR="0062255F" w:rsidRPr="0062255F" w:rsidRDefault="0062255F" w:rsidP="0062255F">
            <w:pPr>
              <w:spacing w:after="0" w:line="240" w:lineRule="auto"/>
              <w:jc w:val="center"/>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Model A</w:t>
            </w:r>
          </w:p>
        </w:tc>
        <w:tc>
          <w:tcPr>
            <w:tcW w:w="1350" w:type="dxa"/>
            <w:hideMark/>
          </w:tcPr>
          <w:p w:rsidR="0062255F" w:rsidRPr="0062255F" w:rsidRDefault="0062255F" w:rsidP="0062255F">
            <w:pPr>
              <w:spacing w:after="0" w:line="240" w:lineRule="auto"/>
              <w:jc w:val="center"/>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Model B</w:t>
            </w:r>
          </w:p>
        </w:tc>
      </w:tr>
      <w:tr w:rsidR="0062255F" w:rsidRPr="0062255F" w:rsidTr="0062255F">
        <w:tc>
          <w:tcPr>
            <w:tcW w:w="4770" w:type="dxa"/>
          </w:tcPr>
          <w:p w:rsidR="0062255F" w:rsidRPr="0062255F" w:rsidRDefault="0062255F" w:rsidP="0062255F">
            <w:pPr>
              <w:spacing w:after="0" w:line="240" w:lineRule="auto"/>
              <w:jc w:val="both"/>
              <w:rPr>
                <w:rFonts w:ascii="Arial Narrow" w:eastAsia="Times New Roman" w:hAnsi="Arial Narrow" w:cs="Times New Roman"/>
                <w:b/>
                <w:sz w:val="26"/>
                <w:szCs w:val="20"/>
              </w:rPr>
            </w:pPr>
          </w:p>
        </w:tc>
        <w:tc>
          <w:tcPr>
            <w:tcW w:w="1350" w:type="dxa"/>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p>
        </w:tc>
        <w:tc>
          <w:tcPr>
            <w:tcW w:w="1350" w:type="dxa"/>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p>
        </w:tc>
      </w:tr>
      <w:tr w:rsidR="0062255F" w:rsidRPr="0062255F" w:rsidTr="0062255F">
        <w:tc>
          <w:tcPr>
            <w:tcW w:w="477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Sales revenue (184,000 units x $32.00)……...</w:t>
            </w:r>
          </w:p>
        </w:tc>
        <w:tc>
          <w:tcPr>
            <w:tcW w:w="135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r w:rsidRPr="0062255F">
              <w:rPr>
                <w:rFonts w:ascii="Arial Narrow" w:eastAsia="Times New Roman" w:hAnsi="Arial Narrow" w:cs="Times New Roman"/>
                <w:b/>
                <w:sz w:val="26"/>
                <w:szCs w:val="20"/>
                <w:u w:val="single"/>
              </w:rPr>
              <w:t>$5,888,000</w:t>
            </w:r>
          </w:p>
        </w:tc>
        <w:tc>
          <w:tcPr>
            <w:tcW w:w="135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r w:rsidRPr="0062255F">
              <w:rPr>
                <w:rFonts w:ascii="Arial Narrow" w:eastAsia="Times New Roman" w:hAnsi="Arial Narrow" w:cs="Times New Roman"/>
                <w:b/>
                <w:sz w:val="26"/>
                <w:szCs w:val="20"/>
                <w:u w:val="single"/>
              </w:rPr>
              <w:t>$5,888,000</w:t>
            </w:r>
          </w:p>
        </w:tc>
      </w:tr>
      <w:tr w:rsidR="0062255F" w:rsidRPr="0062255F" w:rsidTr="0062255F">
        <w:tc>
          <w:tcPr>
            <w:tcW w:w="477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Less variable costs:</w:t>
            </w:r>
          </w:p>
        </w:tc>
        <w:tc>
          <w:tcPr>
            <w:tcW w:w="1350" w:type="dxa"/>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p>
        </w:tc>
        <w:tc>
          <w:tcPr>
            <w:tcW w:w="1350" w:type="dxa"/>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p>
        </w:tc>
      </w:tr>
      <w:tr w:rsidR="0062255F" w:rsidRPr="0062255F" w:rsidTr="0062255F">
        <w:tc>
          <w:tcPr>
            <w:tcW w:w="4770" w:type="dxa"/>
            <w:hideMark/>
          </w:tcPr>
          <w:p w:rsidR="0062255F" w:rsidRPr="0062255F" w:rsidRDefault="0062255F" w:rsidP="0062255F">
            <w:pPr>
              <w:spacing w:after="0" w:line="240" w:lineRule="auto"/>
              <w:ind w:firstLine="342"/>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Sales commissions ($5,888,000 x 5%)…</w:t>
            </w:r>
          </w:p>
        </w:tc>
        <w:tc>
          <w:tcPr>
            <w:tcW w:w="135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   294,400</w:t>
            </w:r>
          </w:p>
        </w:tc>
        <w:tc>
          <w:tcPr>
            <w:tcW w:w="135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   294,400</w:t>
            </w:r>
          </w:p>
        </w:tc>
      </w:tr>
      <w:tr w:rsidR="0062255F" w:rsidRPr="0062255F" w:rsidTr="0062255F">
        <w:tc>
          <w:tcPr>
            <w:tcW w:w="4770" w:type="dxa"/>
            <w:hideMark/>
          </w:tcPr>
          <w:p w:rsidR="0062255F" w:rsidRPr="0062255F" w:rsidRDefault="0062255F" w:rsidP="0062255F">
            <w:pPr>
              <w:spacing w:after="0" w:line="240" w:lineRule="auto"/>
              <w:ind w:firstLine="342"/>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System variable costs:……………………</w:t>
            </w:r>
          </w:p>
        </w:tc>
        <w:tc>
          <w:tcPr>
            <w:tcW w:w="1350" w:type="dxa"/>
          </w:tcPr>
          <w:p w:rsidR="0062255F" w:rsidRPr="0062255F" w:rsidRDefault="0062255F" w:rsidP="0062255F">
            <w:pPr>
              <w:spacing w:after="0" w:line="240" w:lineRule="auto"/>
              <w:jc w:val="both"/>
              <w:rPr>
                <w:rFonts w:ascii="Arial Narrow" w:eastAsia="Times New Roman" w:hAnsi="Arial Narrow" w:cs="Times New Roman"/>
                <w:b/>
                <w:sz w:val="26"/>
                <w:szCs w:val="20"/>
              </w:rPr>
            </w:pPr>
          </w:p>
        </w:tc>
        <w:tc>
          <w:tcPr>
            <w:tcW w:w="1350" w:type="dxa"/>
          </w:tcPr>
          <w:p w:rsidR="0062255F" w:rsidRPr="0062255F" w:rsidRDefault="0062255F" w:rsidP="0062255F">
            <w:pPr>
              <w:spacing w:after="0" w:line="240" w:lineRule="auto"/>
              <w:jc w:val="both"/>
              <w:rPr>
                <w:rFonts w:ascii="Arial Narrow" w:eastAsia="Times New Roman" w:hAnsi="Arial Narrow" w:cs="Times New Roman"/>
                <w:b/>
                <w:sz w:val="26"/>
                <w:szCs w:val="20"/>
              </w:rPr>
            </w:pPr>
          </w:p>
        </w:tc>
      </w:tr>
      <w:tr w:rsidR="0062255F" w:rsidRPr="0062255F" w:rsidTr="0062255F">
        <w:tc>
          <w:tcPr>
            <w:tcW w:w="4770" w:type="dxa"/>
            <w:hideMark/>
          </w:tcPr>
          <w:p w:rsidR="0062255F" w:rsidRPr="0062255F" w:rsidRDefault="0062255F" w:rsidP="0062255F">
            <w:pPr>
              <w:spacing w:after="0" w:line="240" w:lineRule="auto"/>
              <w:ind w:firstLine="702"/>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184,000 units x $8.00………………….</w:t>
            </w:r>
          </w:p>
        </w:tc>
        <w:tc>
          <w:tcPr>
            <w:tcW w:w="135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r w:rsidRPr="0062255F">
              <w:rPr>
                <w:rFonts w:ascii="Arial Narrow" w:eastAsia="Times New Roman" w:hAnsi="Arial Narrow" w:cs="Times New Roman"/>
                <w:b/>
                <w:sz w:val="26"/>
                <w:szCs w:val="20"/>
                <w:u w:val="single"/>
              </w:rPr>
              <w:t xml:space="preserve">  1,472,000</w:t>
            </w:r>
          </w:p>
        </w:tc>
        <w:tc>
          <w:tcPr>
            <w:tcW w:w="1350" w:type="dxa"/>
          </w:tcPr>
          <w:p w:rsidR="0062255F" w:rsidRPr="0062255F" w:rsidRDefault="0062255F" w:rsidP="0062255F">
            <w:pPr>
              <w:spacing w:after="0" w:line="240" w:lineRule="auto"/>
              <w:jc w:val="both"/>
              <w:rPr>
                <w:rFonts w:ascii="Arial Narrow" w:eastAsia="Times New Roman" w:hAnsi="Arial Narrow" w:cs="Times New Roman"/>
                <w:b/>
                <w:sz w:val="26"/>
                <w:szCs w:val="20"/>
              </w:rPr>
            </w:pPr>
          </w:p>
        </w:tc>
      </w:tr>
      <w:tr w:rsidR="0062255F" w:rsidRPr="0062255F" w:rsidTr="0062255F">
        <w:tc>
          <w:tcPr>
            <w:tcW w:w="4770" w:type="dxa"/>
            <w:hideMark/>
          </w:tcPr>
          <w:p w:rsidR="0062255F" w:rsidRPr="0062255F" w:rsidRDefault="0062255F" w:rsidP="0062255F">
            <w:pPr>
              <w:spacing w:after="0" w:line="240" w:lineRule="auto"/>
              <w:ind w:firstLine="702"/>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184,000 units x $6.40………………….</w:t>
            </w:r>
          </w:p>
        </w:tc>
        <w:tc>
          <w:tcPr>
            <w:tcW w:w="1350" w:type="dxa"/>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p>
        </w:tc>
        <w:tc>
          <w:tcPr>
            <w:tcW w:w="135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r w:rsidRPr="0062255F">
              <w:rPr>
                <w:rFonts w:ascii="Arial Narrow" w:eastAsia="Times New Roman" w:hAnsi="Arial Narrow" w:cs="Times New Roman"/>
                <w:b/>
                <w:sz w:val="26"/>
                <w:szCs w:val="20"/>
                <w:u w:val="single"/>
              </w:rPr>
              <w:t xml:space="preserve">  1,177,600</w:t>
            </w:r>
          </w:p>
        </w:tc>
      </w:tr>
      <w:tr w:rsidR="0062255F" w:rsidRPr="0062255F" w:rsidTr="0062255F">
        <w:tc>
          <w:tcPr>
            <w:tcW w:w="4770" w:type="dxa"/>
            <w:hideMark/>
          </w:tcPr>
          <w:p w:rsidR="0062255F" w:rsidRPr="0062255F" w:rsidRDefault="0062255F" w:rsidP="0062255F">
            <w:pPr>
              <w:spacing w:after="0" w:line="240" w:lineRule="auto"/>
              <w:ind w:firstLine="342"/>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Total variable costs………………………..</w:t>
            </w:r>
          </w:p>
        </w:tc>
        <w:tc>
          <w:tcPr>
            <w:tcW w:w="135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r w:rsidRPr="0062255F">
              <w:rPr>
                <w:rFonts w:ascii="Arial Narrow" w:eastAsia="Times New Roman" w:hAnsi="Arial Narrow" w:cs="Times New Roman"/>
                <w:b/>
                <w:sz w:val="26"/>
                <w:szCs w:val="20"/>
                <w:u w:val="single"/>
              </w:rPr>
              <w:t>$1,766,400</w:t>
            </w:r>
          </w:p>
        </w:tc>
        <w:tc>
          <w:tcPr>
            <w:tcW w:w="135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r w:rsidRPr="0062255F">
              <w:rPr>
                <w:rFonts w:ascii="Arial Narrow" w:eastAsia="Times New Roman" w:hAnsi="Arial Narrow" w:cs="Times New Roman"/>
                <w:b/>
                <w:sz w:val="26"/>
                <w:szCs w:val="20"/>
                <w:u w:val="single"/>
              </w:rPr>
              <w:t>$1,472,000</w:t>
            </w:r>
          </w:p>
        </w:tc>
      </w:tr>
      <w:tr w:rsidR="0062255F" w:rsidRPr="0062255F" w:rsidTr="0062255F">
        <w:tc>
          <w:tcPr>
            <w:tcW w:w="477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Contribution margin…………………………...</w:t>
            </w:r>
          </w:p>
        </w:tc>
        <w:tc>
          <w:tcPr>
            <w:tcW w:w="135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$4,121,600</w:t>
            </w:r>
          </w:p>
        </w:tc>
        <w:tc>
          <w:tcPr>
            <w:tcW w:w="135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$4,416,000</w:t>
            </w:r>
          </w:p>
        </w:tc>
      </w:tr>
      <w:tr w:rsidR="0062255F" w:rsidRPr="0062255F" w:rsidTr="0062255F">
        <w:tc>
          <w:tcPr>
            <w:tcW w:w="477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Less: Annual fixed costs……………………..</w:t>
            </w:r>
          </w:p>
        </w:tc>
        <w:tc>
          <w:tcPr>
            <w:tcW w:w="135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r w:rsidRPr="0062255F">
              <w:rPr>
                <w:rFonts w:ascii="Arial Narrow" w:eastAsia="Times New Roman" w:hAnsi="Arial Narrow" w:cs="Times New Roman"/>
                <w:b/>
                <w:sz w:val="26"/>
                <w:szCs w:val="20"/>
                <w:u w:val="single"/>
              </w:rPr>
              <w:t xml:space="preserve">  1,971,200</w:t>
            </w:r>
          </w:p>
        </w:tc>
        <w:tc>
          <w:tcPr>
            <w:tcW w:w="135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u w:val="single"/>
              </w:rPr>
            </w:pPr>
            <w:r w:rsidRPr="0062255F">
              <w:rPr>
                <w:rFonts w:ascii="Arial Narrow" w:eastAsia="Times New Roman" w:hAnsi="Arial Narrow" w:cs="Times New Roman"/>
                <w:b/>
                <w:sz w:val="26"/>
                <w:szCs w:val="20"/>
                <w:u w:val="single"/>
              </w:rPr>
              <w:t xml:space="preserve">  2,227,200</w:t>
            </w:r>
          </w:p>
        </w:tc>
      </w:tr>
      <w:tr w:rsidR="0062255F" w:rsidRPr="0062255F" w:rsidTr="0062255F">
        <w:tc>
          <w:tcPr>
            <w:tcW w:w="477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Net income………………………………………</w:t>
            </w:r>
          </w:p>
        </w:tc>
        <w:tc>
          <w:tcPr>
            <w:tcW w:w="135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u w:val="double"/>
              </w:rPr>
            </w:pPr>
            <w:r w:rsidRPr="0062255F">
              <w:rPr>
                <w:rFonts w:ascii="Arial Narrow" w:eastAsia="Times New Roman" w:hAnsi="Arial Narrow" w:cs="Times New Roman"/>
                <w:b/>
                <w:sz w:val="26"/>
                <w:szCs w:val="20"/>
                <w:u w:val="double"/>
              </w:rPr>
              <w:t>$2,150,400</w:t>
            </w:r>
          </w:p>
        </w:tc>
        <w:tc>
          <w:tcPr>
            <w:tcW w:w="1350" w:type="dxa"/>
            <w:hideMark/>
          </w:tcPr>
          <w:p w:rsidR="0062255F" w:rsidRPr="0062255F" w:rsidRDefault="0062255F" w:rsidP="0062255F">
            <w:pPr>
              <w:spacing w:after="0" w:line="240" w:lineRule="auto"/>
              <w:jc w:val="both"/>
              <w:rPr>
                <w:rFonts w:ascii="Arial Narrow" w:eastAsia="Times New Roman" w:hAnsi="Arial Narrow" w:cs="Times New Roman"/>
                <w:b/>
                <w:sz w:val="26"/>
                <w:szCs w:val="20"/>
                <w:u w:val="double"/>
              </w:rPr>
            </w:pPr>
            <w:r w:rsidRPr="0062255F">
              <w:rPr>
                <w:rFonts w:ascii="Arial Narrow" w:eastAsia="Times New Roman" w:hAnsi="Arial Narrow" w:cs="Times New Roman"/>
                <w:b/>
                <w:sz w:val="26"/>
                <w:szCs w:val="20"/>
                <w:u w:val="double"/>
              </w:rPr>
              <w:t>$2,188,800</w:t>
            </w:r>
          </w:p>
        </w:tc>
      </w:tr>
    </w:tbl>
    <w:p w:rsidR="0062255F" w:rsidRPr="0062255F" w:rsidRDefault="0062255F" w:rsidP="0062255F">
      <w:pPr>
        <w:spacing w:after="0" w:line="240" w:lineRule="auto"/>
        <w:ind w:left="720"/>
        <w:jc w:val="both"/>
        <w:rPr>
          <w:rFonts w:ascii="Arial Narrow" w:eastAsia="Times New Roman" w:hAnsi="Arial Narrow" w:cs="Times New Roman"/>
          <w:b/>
          <w:sz w:val="26"/>
          <w:szCs w:val="20"/>
        </w:rPr>
      </w:pPr>
    </w:p>
    <w:p w:rsidR="0062255F" w:rsidRPr="0062255F" w:rsidRDefault="0062255F" w:rsidP="0062255F">
      <w:pPr>
        <w:numPr>
          <w:ilvl w:val="0"/>
          <w:numId w:val="3"/>
        </w:num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 xml:space="preserve">Annual fixed costs will increase by $180,000 ($900,000 ÷ 5 years) because of straight-line depreciation associated with the new equipment, to $2,407,200 ($2,227,200 + $180,000).  The unit contribution margin is $24 ($4,416,000 ÷ 184,000 units).  Thus: </w:t>
      </w:r>
    </w:p>
    <w:p w:rsidR="0062255F" w:rsidRPr="0062255F" w:rsidRDefault="0062255F" w:rsidP="0062255F">
      <w:pPr>
        <w:spacing w:after="0" w:line="240" w:lineRule="auto"/>
        <w:jc w:val="both"/>
        <w:rPr>
          <w:rFonts w:ascii="Arial Narrow" w:eastAsia="Times New Roman" w:hAnsi="Arial Narrow" w:cs="Times New Roman"/>
          <w:b/>
          <w:sz w:val="26"/>
          <w:szCs w:val="20"/>
        </w:rPr>
      </w:pPr>
    </w:p>
    <w:p w:rsidR="0062255F" w:rsidRPr="0062255F" w:rsidRDefault="0062255F" w:rsidP="0062255F">
      <w:pPr>
        <w:spacing w:after="0" w:line="240" w:lineRule="auto"/>
        <w:ind w:left="1440"/>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Required sales = (fixed costs + target net profit) ÷ unit contribution margin</w:t>
      </w:r>
    </w:p>
    <w:p w:rsidR="0062255F" w:rsidRPr="0062255F" w:rsidRDefault="0062255F" w:rsidP="0062255F">
      <w:pPr>
        <w:spacing w:after="0" w:line="240" w:lineRule="auto"/>
        <w:ind w:left="2970" w:hanging="1530"/>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ab/>
        <w:t xml:space="preserve"> = ($2,407,200 + $1,912,800) ÷ $24</w:t>
      </w:r>
    </w:p>
    <w:p w:rsidR="0062255F" w:rsidRPr="0062255F" w:rsidRDefault="0062255F" w:rsidP="0062255F">
      <w:pPr>
        <w:tabs>
          <w:tab w:val="left" w:pos="2970"/>
        </w:tabs>
        <w:spacing w:after="0" w:line="240" w:lineRule="auto"/>
        <w:ind w:left="3060" w:hanging="1620"/>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ab/>
        <w:t xml:space="preserve"> = 180,000 units</w:t>
      </w:r>
    </w:p>
    <w:p w:rsidR="0062255F" w:rsidRPr="0062255F" w:rsidRDefault="0062255F" w:rsidP="0062255F">
      <w:pPr>
        <w:tabs>
          <w:tab w:val="left" w:pos="3060"/>
        </w:tabs>
        <w:spacing w:after="0" w:line="240" w:lineRule="auto"/>
        <w:ind w:left="3060" w:hanging="1620"/>
        <w:jc w:val="both"/>
        <w:rPr>
          <w:rFonts w:ascii="Arial Narrow" w:eastAsia="Times New Roman" w:hAnsi="Arial Narrow" w:cs="Times New Roman"/>
          <w:b/>
          <w:sz w:val="26"/>
          <w:szCs w:val="20"/>
        </w:rPr>
      </w:pPr>
    </w:p>
    <w:p w:rsidR="0062255F" w:rsidRPr="0062255F" w:rsidRDefault="0062255F" w:rsidP="0062255F">
      <w:pPr>
        <w:numPr>
          <w:ilvl w:val="0"/>
          <w:numId w:val="3"/>
        </w:numPr>
        <w:spacing w:after="0" w:line="240" w:lineRule="auto"/>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Let X = volume level at which annual total costs are equal</w:t>
      </w:r>
    </w:p>
    <w:p w:rsidR="0062255F" w:rsidRPr="0062255F" w:rsidRDefault="0062255F" w:rsidP="0062255F">
      <w:pPr>
        <w:spacing w:after="0" w:line="240" w:lineRule="auto"/>
        <w:ind w:left="720"/>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$8.00X + $1,971,200 = $6.40X + $2,227,200</w:t>
      </w:r>
    </w:p>
    <w:p w:rsidR="0062255F" w:rsidRPr="0062255F" w:rsidRDefault="0062255F" w:rsidP="0062255F">
      <w:pPr>
        <w:spacing w:after="0" w:line="240" w:lineRule="auto"/>
        <w:ind w:left="720"/>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$1.60X = $256,000</w:t>
      </w:r>
    </w:p>
    <w:p w:rsidR="0062255F" w:rsidRPr="0062255F" w:rsidRDefault="0062255F" w:rsidP="0062255F">
      <w:pPr>
        <w:spacing w:after="0" w:line="240" w:lineRule="auto"/>
        <w:ind w:left="720"/>
        <w:jc w:val="both"/>
        <w:rPr>
          <w:rFonts w:ascii="Arial Narrow" w:eastAsia="Times New Roman" w:hAnsi="Arial Narrow" w:cs="Times New Roman"/>
          <w:b/>
          <w:sz w:val="26"/>
          <w:szCs w:val="20"/>
        </w:rPr>
      </w:pPr>
      <w:r w:rsidRPr="0062255F">
        <w:rPr>
          <w:rFonts w:ascii="Arial Narrow" w:eastAsia="Times New Roman" w:hAnsi="Arial Narrow" w:cs="Times New Roman"/>
          <w:b/>
          <w:sz w:val="26"/>
          <w:szCs w:val="20"/>
        </w:rPr>
        <w:t xml:space="preserve">X = 160,000 units </w:t>
      </w:r>
      <w:r w:rsidRPr="0062255F">
        <w:rPr>
          <w:rFonts w:ascii="Arial Narrow" w:eastAsia="Times New Roman" w:hAnsi="Arial Narrow" w:cs="Times New Roman"/>
          <w:b/>
          <w:sz w:val="26"/>
          <w:szCs w:val="20"/>
        </w:rPr>
        <w:tab/>
        <w:t xml:space="preserve"> </w:t>
      </w:r>
    </w:p>
    <w:p w:rsidR="003C10F7" w:rsidRDefault="003C10F7" w:rsidP="0062255F"/>
    <w:sectPr w:rsidR="003C1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33E"/>
    <w:multiLevelType w:val="singleLevel"/>
    <w:tmpl w:val="2CFE713A"/>
    <w:lvl w:ilvl="0">
      <w:start w:val="1"/>
      <w:numFmt w:val="decimal"/>
      <w:lvlText w:val="%1."/>
      <w:lvlJc w:val="left"/>
      <w:pPr>
        <w:tabs>
          <w:tab w:val="num" w:pos="720"/>
        </w:tabs>
        <w:ind w:left="720" w:hanging="720"/>
      </w:pPr>
    </w:lvl>
  </w:abstractNum>
  <w:abstractNum w:abstractNumId="1">
    <w:nsid w:val="2DAF6058"/>
    <w:multiLevelType w:val="singleLevel"/>
    <w:tmpl w:val="A5F2E710"/>
    <w:lvl w:ilvl="0">
      <w:start w:val="2"/>
      <w:numFmt w:val="lowerLetter"/>
      <w:lvlText w:val="%1."/>
      <w:lvlJc w:val="left"/>
      <w:pPr>
        <w:tabs>
          <w:tab w:val="num" w:pos="1080"/>
        </w:tabs>
        <w:ind w:left="1080" w:hanging="360"/>
      </w:pPr>
    </w:lvl>
  </w:abstractNum>
  <w:abstractNum w:abstractNumId="2">
    <w:nsid w:val="57510ACD"/>
    <w:multiLevelType w:val="singleLevel"/>
    <w:tmpl w:val="29DC20FC"/>
    <w:lvl w:ilvl="0">
      <w:start w:val="4"/>
      <w:numFmt w:val="decimal"/>
      <w:lvlText w:val="%1."/>
      <w:lvlJc w:val="left"/>
      <w:pPr>
        <w:tabs>
          <w:tab w:val="num" w:pos="720"/>
        </w:tabs>
        <w:ind w:left="720" w:hanging="360"/>
      </w:pPr>
    </w:lvl>
  </w:abstractNum>
  <w:num w:numId="1">
    <w:abstractNumId w:val="1"/>
    <w:lvlOverride w:ilvl="0">
      <w:startOverride w:val="2"/>
    </w:lvlOverride>
  </w:num>
  <w:num w:numId="2">
    <w:abstractNumId w:val="2"/>
    <w:lvlOverride w:ilvl="0">
      <w:startOverride w:val="4"/>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5F"/>
    <w:rsid w:val="003C10F7"/>
    <w:rsid w:val="004A30FE"/>
    <w:rsid w:val="00553CE7"/>
    <w:rsid w:val="0062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5F"/>
  </w:style>
  <w:style w:type="paragraph" w:styleId="Heading1">
    <w:name w:val="heading 1"/>
    <w:next w:val="BodyText"/>
    <w:link w:val="Heading1Char"/>
    <w:autoRedefine/>
    <w:qFormat/>
    <w:rsid w:val="0062255F"/>
    <w:pPr>
      <w:keepNext/>
      <w:spacing w:before="120" w:after="120" w:line="240" w:lineRule="auto"/>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uiPriority w:val="9"/>
    <w:semiHidden/>
    <w:unhideWhenUsed/>
    <w:qFormat/>
    <w:rsid w:val="006225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55F"/>
    <w:rPr>
      <w:rFonts w:ascii="Arial" w:eastAsia="Times New Roman" w:hAnsi="Arial" w:cs="Times New Roman"/>
      <w:b/>
      <w:caps/>
      <w:kern w:val="28"/>
      <w:sz w:val="28"/>
      <w:szCs w:val="20"/>
    </w:rPr>
  </w:style>
  <w:style w:type="paragraph" w:customStyle="1" w:styleId="Outline1">
    <w:name w:val="Outline 1"/>
    <w:rsid w:val="0062255F"/>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Outline2">
    <w:name w:val="Outline 2"/>
    <w:basedOn w:val="Outline1"/>
    <w:rsid w:val="0062255F"/>
    <w:pPr>
      <w:ind w:left="1080" w:hanging="360"/>
    </w:pPr>
  </w:style>
  <w:style w:type="paragraph" w:customStyle="1" w:styleId="TableBody">
    <w:name w:val="Table Body"/>
    <w:rsid w:val="0062255F"/>
    <w:pPr>
      <w:keepNext/>
      <w:spacing w:after="0" w:line="240" w:lineRule="auto"/>
    </w:pPr>
    <w:rPr>
      <w:rFonts w:ascii="Arial Narrow" w:eastAsia="Times New Roman" w:hAnsi="Arial Narrow" w:cs="Times New Roman"/>
      <w:b/>
      <w:sz w:val="26"/>
      <w:szCs w:val="20"/>
    </w:rPr>
  </w:style>
  <w:style w:type="paragraph" w:customStyle="1" w:styleId="Outline3">
    <w:name w:val="Outline 3"/>
    <w:basedOn w:val="Outline1"/>
    <w:rsid w:val="0062255F"/>
    <w:pPr>
      <w:ind w:left="1440" w:hanging="360"/>
    </w:pPr>
  </w:style>
  <w:style w:type="paragraph" w:styleId="BodyText">
    <w:name w:val="Body Text"/>
    <w:basedOn w:val="Normal"/>
    <w:link w:val="BodyTextChar"/>
    <w:uiPriority w:val="99"/>
    <w:semiHidden/>
    <w:unhideWhenUsed/>
    <w:rsid w:val="0062255F"/>
    <w:pPr>
      <w:spacing w:after="120"/>
    </w:pPr>
  </w:style>
  <w:style w:type="character" w:customStyle="1" w:styleId="BodyTextChar">
    <w:name w:val="Body Text Char"/>
    <w:basedOn w:val="DefaultParagraphFont"/>
    <w:link w:val="BodyText"/>
    <w:uiPriority w:val="99"/>
    <w:semiHidden/>
    <w:rsid w:val="0062255F"/>
  </w:style>
  <w:style w:type="character" w:customStyle="1" w:styleId="Heading2Char">
    <w:name w:val="Heading 2 Char"/>
    <w:basedOn w:val="DefaultParagraphFont"/>
    <w:link w:val="Heading2"/>
    <w:uiPriority w:val="9"/>
    <w:semiHidden/>
    <w:rsid w:val="0062255F"/>
    <w:rPr>
      <w:rFonts w:asciiTheme="majorHAnsi" w:eastAsiaTheme="majorEastAsia" w:hAnsiTheme="majorHAnsi" w:cstheme="majorBidi"/>
      <w:b/>
      <w:bCs/>
      <w:color w:val="4F81BD" w:themeColor="accent1"/>
      <w:sz w:val="26"/>
      <w:szCs w:val="26"/>
    </w:rPr>
  </w:style>
  <w:style w:type="paragraph" w:customStyle="1" w:styleId="Table">
    <w:name w:val="Table"/>
    <w:aliases w:val="Financial"/>
    <w:rsid w:val="0062255F"/>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TableFinancial">
    <w:name w:val="Table Financial"/>
    <w:rsid w:val="0062255F"/>
    <w:pPr>
      <w:keepLines/>
      <w:spacing w:after="0" w:line="240" w:lineRule="auto"/>
    </w:pPr>
    <w:rPr>
      <w:rFonts w:ascii="Arial Narrow" w:eastAsia="Times New Roman" w:hAnsi="Arial Narrow"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5F"/>
  </w:style>
  <w:style w:type="paragraph" w:styleId="Heading1">
    <w:name w:val="heading 1"/>
    <w:next w:val="BodyText"/>
    <w:link w:val="Heading1Char"/>
    <w:autoRedefine/>
    <w:qFormat/>
    <w:rsid w:val="0062255F"/>
    <w:pPr>
      <w:keepNext/>
      <w:spacing w:before="120" w:after="120" w:line="240" w:lineRule="auto"/>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uiPriority w:val="9"/>
    <w:semiHidden/>
    <w:unhideWhenUsed/>
    <w:qFormat/>
    <w:rsid w:val="006225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55F"/>
    <w:rPr>
      <w:rFonts w:ascii="Arial" w:eastAsia="Times New Roman" w:hAnsi="Arial" w:cs="Times New Roman"/>
      <w:b/>
      <w:caps/>
      <w:kern w:val="28"/>
      <w:sz w:val="28"/>
      <w:szCs w:val="20"/>
    </w:rPr>
  </w:style>
  <w:style w:type="paragraph" w:customStyle="1" w:styleId="Outline1">
    <w:name w:val="Outline 1"/>
    <w:rsid w:val="0062255F"/>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Outline2">
    <w:name w:val="Outline 2"/>
    <w:basedOn w:val="Outline1"/>
    <w:rsid w:val="0062255F"/>
    <w:pPr>
      <w:ind w:left="1080" w:hanging="360"/>
    </w:pPr>
  </w:style>
  <w:style w:type="paragraph" w:customStyle="1" w:styleId="TableBody">
    <w:name w:val="Table Body"/>
    <w:rsid w:val="0062255F"/>
    <w:pPr>
      <w:keepNext/>
      <w:spacing w:after="0" w:line="240" w:lineRule="auto"/>
    </w:pPr>
    <w:rPr>
      <w:rFonts w:ascii="Arial Narrow" w:eastAsia="Times New Roman" w:hAnsi="Arial Narrow" w:cs="Times New Roman"/>
      <w:b/>
      <w:sz w:val="26"/>
      <w:szCs w:val="20"/>
    </w:rPr>
  </w:style>
  <w:style w:type="paragraph" w:customStyle="1" w:styleId="Outline3">
    <w:name w:val="Outline 3"/>
    <w:basedOn w:val="Outline1"/>
    <w:rsid w:val="0062255F"/>
    <w:pPr>
      <w:ind w:left="1440" w:hanging="360"/>
    </w:pPr>
  </w:style>
  <w:style w:type="paragraph" w:styleId="BodyText">
    <w:name w:val="Body Text"/>
    <w:basedOn w:val="Normal"/>
    <w:link w:val="BodyTextChar"/>
    <w:uiPriority w:val="99"/>
    <w:semiHidden/>
    <w:unhideWhenUsed/>
    <w:rsid w:val="0062255F"/>
    <w:pPr>
      <w:spacing w:after="120"/>
    </w:pPr>
  </w:style>
  <w:style w:type="character" w:customStyle="1" w:styleId="BodyTextChar">
    <w:name w:val="Body Text Char"/>
    <w:basedOn w:val="DefaultParagraphFont"/>
    <w:link w:val="BodyText"/>
    <w:uiPriority w:val="99"/>
    <w:semiHidden/>
    <w:rsid w:val="0062255F"/>
  </w:style>
  <w:style w:type="character" w:customStyle="1" w:styleId="Heading2Char">
    <w:name w:val="Heading 2 Char"/>
    <w:basedOn w:val="DefaultParagraphFont"/>
    <w:link w:val="Heading2"/>
    <w:uiPriority w:val="9"/>
    <w:semiHidden/>
    <w:rsid w:val="0062255F"/>
    <w:rPr>
      <w:rFonts w:asciiTheme="majorHAnsi" w:eastAsiaTheme="majorEastAsia" w:hAnsiTheme="majorHAnsi" w:cstheme="majorBidi"/>
      <w:b/>
      <w:bCs/>
      <w:color w:val="4F81BD" w:themeColor="accent1"/>
      <w:sz w:val="26"/>
      <w:szCs w:val="26"/>
    </w:rPr>
  </w:style>
  <w:style w:type="paragraph" w:customStyle="1" w:styleId="Table">
    <w:name w:val="Table"/>
    <w:aliases w:val="Financial"/>
    <w:rsid w:val="0062255F"/>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TableFinancial">
    <w:name w:val="Table Financial"/>
    <w:rsid w:val="0062255F"/>
    <w:pPr>
      <w:keepLines/>
      <w:spacing w:after="0" w:line="240" w:lineRule="auto"/>
    </w:pPr>
    <w:rPr>
      <w:rFonts w:ascii="Arial Narrow" w:eastAsia="Times New Roman" w:hAnsi="Arial Narrow"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6101">
      <w:bodyDiv w:val="1"/>
      <w:marLeft w:val="0"/>
      <w:marRight w:val="0"/>
      <w:marTop w:val="0"/>
      <w:marBottom w:val="0"/>
      <w:divBdr>
        <w:top w:val="none" w:sz="0" w:space="0" w:color="auto"/>
        <w:left w:val="none" w:sz="0" w:space="0" w:color="auto"/>
        <w:bottom w:val="none" w:sz="0" w:space="0" w:color="auto"/>
        <w:right w:val="none" w:sz="0" w:space="0" w:color="auto"/>
      </w:divBdr>
    </w:div>
    <w:div w:id="1288854809">
      <w:bodyDiv w:val="1"/>
      <w:marLeft w:val="0"/>
      <w:marRight w:val="0"/>
      <w:marTop w:val="0"/>
      <w:marBottom w:val="0"/>
      <w:divBdr>
        <w:top w:val="none" w:sz="0" w:space="0" w:color="auto"/>
        <w:left w:val="none" w:sz="0" w:space="0" w:color="auto"/>
        <w:bottom w:val="none" w:sz="0" w:space="0" w:color="auto"/>
        <w:right w:val="none" w:sz="0" w:space="0" w:color="auto"/>
      </w:divBdr>
    </w:div>
    <w:div w:id="1635408761">
      <w:bodyDiv w:val="1"/>
      <w:marLeft w:val="0"/>
      <w:marRight w:val="0"/>
      <w:marTop w:val="0"/>
      <w:marBottom w:val="0"/>
      <w:divBdr>
        <w:top w:val="none" w:sz="0" w:space="0" w:color="auto"/>
        <w:left w:val="none" w:sz="0" w:space="0" w:color="auto"/>
        <w:bottom w:val="none" w:sz="0" w:space="0" w:color="auto"/>
        <w:right w:val="none" w:sz="0" w:space="0" w:color="auto"/>
      </w:divBdr>
    </w:div>
    <w:div w:id="2050372466">
      <w:bodyDiv w:val="1"/>
      <w:marLeft w:val="0"/>
      <w:marRight w:val="0"/>
      <w:marTop w:val="0"/>
      <w:marBottom w:val="0"/>
      <w:divBdr>
        <w:top w:val="none" w:sz="0" w:space="0" w:color="auto"/>
        <w:left w:val="none" w:sz="0" w:space="0" w:color="auto"/>
        <w:bottom w:val="none" w:sz="0" w:space="0" w:color="auto"/>
        <w:right w:val="none" w:sz="0" w:space="0" w:color="auto"/>
      </w:divBdr>
    </w:div>
    <w:div w:id="212889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Hammond</dc:creator>
  <cp:lastModifiedBy>John Hassell</cp:lastModifiedBy>
  <cp:revision>2</cp:revision>
  <dcterms:created xsi:type="dcterms:W3CDTF">2014-12-04T17:52:00Z</dcterms:created>
  <dcterms:modified xsi:type="dcterms:W3CDTF">2014-12-04T17:52:00Z</dcterms:modified>
</cp:coreProperties>
</file>