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175" w:rsidRPr="00733175" w:rsidRDefault="00950473" w:rsidP="007331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 5</w:t>
      </w:r>
      <w:r w:rsidR="00733175" w:rsidRPr="00733175">
        <w:rPr>
          <w:b/>
          <w:sz w:val="28"/>
          <w:szCs w:val="28"/>
        </w:rPr>
        <w:t xml:space="preserve"> (</w:t>
      </w:r>
      <w:r w:rsidR="007447CE">
        <w:rPr>
          <w:b/>
          <w:sz w:val="28"/>
          <w:szCs w:val="28"/>
        </w:rPr>
        <w:t>Activity-</w:t>
      </w:r>
      <w:r>
        <w:rPr>
          <w:b/>
          <w:sz w:val="28"/>
          <w:szCs w:val="28"/>
        </w:rPr>
        <w:t>Based Costing</w:t>
      </w:r>
      <w:r w:rsidR="008D680D">
        <w:rPr>
          <w:b/>
          <w:sz w:val="28"/>
          <w:szCs w:val="28"/>
        </w:rPr>
        <w:t>) Video</w:t>
      </w:r>
    </w:p>
    <w:p w:rsidR="00733175" w:rsidRDefault="00733175">
      <w:pPr>
        <w:rPr>
          <w:sz w:val="28"/>
          <w:szCs w:val="28"/>
        </w:rPr>
      </w:pPr>
    </w:p>
    <w:p w:rsidR="00340A03" w:rsidRDefault="00340A03">
      <w:pPr>
        <w:rPr>
          <w:sz w:val="28"/>
          <w:szCs w:val="28"/>
        </w:rPr>
      </w:pPr>
      <w:r>
        <w:rPr>
          <w:sz w:val="28"/>
          <w:szCs w:val="28"/>
        </w:rPr>
        <w:t>This video builds upon the text, PowerPoint slides, and instructor notes.  Please read them before watching the video.</w:t>
      </w:r>
    </w:p>
    <w:p w:rsidR="00340A03" w:rsidRPr="00950473" w:rsidRDefault="00340A03">
      <w:pPr>
        <w:rPr>
          <w:sz w:val="28"/>
          <w:szCs w:val="28"/>
        </w:rPr>
      </w:pPr>
    </w:p>
    <w:p w:rsidR="00950473" w:rsidRPr="00950473" w:rsidRDefault="00950473" w:rsidP="00950473">
      <w:pPr>
        <w:widowControl w:val="0"/>
        <w:rPr>
          <w:sz w:val="28"/>
          <w:szCs w:val="28"/>
        </w:rPr>
      </w:pPr>
      <w:r w:rsidRPr="00950473">
        <w:rPr>
          <w:sz w:val="28"/>
          <w:szCs w:val="28"/>
        </w:rPr>
        <w:t xml:space="preserve">Many companies still use traditional </w:t>
      </w:r>
      <w:r w:rsidRPr="00950473">
        <w:rPr>
          <w:b/>
          <w:sz w:val="28"/>
          <w:szCs w:val="28"/>
        </w:rPr>
        <w:t>volume-based</w:t>
      </w:r>
      <w:r w:rsidRPr="00950473">
        <w:rPr>
          <w:sz w:val="28"/>
          <w:szCs w:val="28"/>
        </w:rPr>
        <w:t xml:space="preserve"> (sometimes called </w:t>
      </w:r>
      <w:r w:rsidRPr="00950473">
        <w:rPr>
          <w:b/>
          <w:sz w:val="28"/>
          <w:szCs w:val="28"/>
        </w:rPr>
        <w:t xml:space="preserve">throughput-based) </w:t>
      </w:r>
      <w:r w:rsidRPr="00950473">
        <w:rPr>
          <w:sz w:val="28"/>
          <w:szCs w:val="28"/>
        </w:rPr>
        <w:t xml:space="preserve">costing systems (as described in Chapters 3 and 4).  </w:t>
      </w:r>
    </w:p>
    <w:p w:rsidR="00950473" w:rsidRPr="00950473" w:rsidRDefault="00950473" w:rsidP="00863B4F">
      <w:pPr>
        <w:pStyle w:val="ListParagraph"/>
        <w:widowControl w:val="0"/>
        <w:numPr>
          <w:ilvl w:val="0"/>
          <w:numId w:val="2"/>
        </w:numPr>
        <w:rPr>
          <w:i/>
          <w:sz w:val="28"/>
          <w:szCs w:val="28"/>
        </w:rPr>
      </w:pPr>
      <w:r w:rsidRPr="00950473">
        <w:rPr>
          <w:i/>
          <w:sz w:val="28"/>
          <w:szCs w:val="28"/>
        </w:rPr>
        <w:t>These systems generally group overhead into one cost pool and apply overhead to products based on direct labor, with labor being a measure of volume.</w:t>
      </w:r>
    </w:p>
    <w:p w:rsidR="00950473" w:rsidRPr="00950473" w:rsidRDefault="00950473" w:rsidP="00950473">
      <w:pPr>
        <w:widowControl w:val="0"/>
        <w:rPr>
          <w:sz w:val="28"/>
          <w:szCs w:val="28"/>
        </w:rPr>
      </w:pPr>
    </w:p>
    <w:p w:rsidR="00E673C5" w:rsidRDefault="00950473" w:rsidP="00950473">
      <w:pPr>
        <w:widowControl w:val="0"/>
        <w:rPr>
          <w:sz w:val="28"/>
          <w:szCs w:val="28"/>
        </w:rPr>
      </w:pPr>
      <w:r w:rsidRPr="00950473">
        <w:rPr>
          <w:sz w:val="28"/>
          <w:szCs w:val="28"/>
        </w:rPr>
        <w:t xml:space="preserve">In the past, accountants felt there was a high correlation between overhead and labor.  </w:t>
      </w:r>
    </w:p>
    <w:p w:rsidR="00E673C5" w:rsidRDefault="00E673C5" w:rsidP="00950473">
      <w:pPr>
        <w:widowControl w:val="0"/>
        <w:rPr>
          <w:sz w:val="28"/>
          <w:szCs w:val="28"/>
        </w:rPr>
      </w:pPr>
    </w:p>
    <w:p w:rsidR="00950473" w:rsidRPr="00950473" w:rsidRDefault="00950473" w:rsidP="00950473">
      <w:pPr>
        <w:widowControl w:val="0"/>
        <w:rPr>
          <w:sz w:val="28"/>
          <w:szCs w:val="28"/>
        </w:rPr>
      </w:pPr>
      <w:r w:rsidRPr="00950473">
        <w:rPr>
          <w:sz w:val="28"/>
          <w:szCs w:val="28"/>
        </w:rPr>
        <w:t>However, with increasing factory computerization and automation (and the reduction of labor</w:t>
      </w:r>
      <w:r w:rsidR="00E673C5">
        <w:rPr>
          <w:sz w:val="28"/>
          <w:szCs w:val="28"/>
        </w:rPr>
        <w:t xml:space="preserve"> as part of the manufacturing process</w:t>
      </w:r>
      <w:r w:rsidRPr="00950473">
        <w:rPr>
          <w:sz w:val="28"/>
          <w:szCs w:val="28"/>
        </w:rPr>
        <w:t xml:space="preserve">), this </w:t>
      </w:r>
      <w:r w:rsidR="00E673C5">
        <w:rPr>
          <w:sz w:val="28"/>
          <w:szCs w:val="28"/>
        </w:rPr>
        <w:t xml:space="preserve">correlation </w:t>
      </w:r>
      <w:r w:rsidRPr="00950473">
        <w:rPr>
          <w:sz w:val="28"/>
          <w:szCs w:val="28"/>
        </w:rPr>
        <w:t>is no</w:t>
      </w:r>
      <w:r w:rsidR="00E673C5">
        <w:rPr>
          <w:sz w:val="28"/>
          <w:szCs w:val="28"/>
        </w:rPr>
        <w:t xml:space="preserve"> longer appropriate</w:t>
      </w:r>
      <w:r w:rsidRPr="00950473">
        <w:rPr>
          <w:sz w:val="28"/>
          <w:szCs w:val="28"/>
        </w:rPr>
        <w:t xml:space="preserve">.  </w:t>
      </w:r>
    </w:p>
    <w:p w:rsidR="00950473" w:rsidRPr="00950473" w:rsidRDefault="00950473" w:rsidP="00950473">
      <w:pPr>
        <w:rPr>
          <w:sz w:val="28"/>
          <w:szCs w:val="28"/>
        </w:rPr>
      </w:pPr>
    </w:p>
    <w:p w:rsidR="00950473" w:rsidRDefault="0095047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50473" w:rsidRPr="00950473" w:rsidRDefault="00950473" w:rsidP="00950473">
      <w:pPr>
        <w:widowControl w:val="0"/>
        <w:rPr>
          <w:b/>
          <w:sz w:val="28"/>
          <w:szCs w:val="28"/>
        </w:rPr>
      </w:pPr>
      <w:r w:rsidRPr="00950473">
        <w:rPr>
          <w:b/>
          <w:sz w:val="28"/>
          <w:szCs w:val="28"/>
        </w:rPr>
        <w:lastRenderedPageBreak/>
        <w:t>ACTIVITY-BASED COSTING SYSTEMS</w:t>
      </w:r>
    </w:p>
    <w:p w:rsidR="00950473" w:rsidRPr="00950473" w:rsidRDefault="00950473" w:rsidP="00950473">
      <w:pPr>
        <w:rPr>
          <w:sz w:val="28"/>
          <w:szCs w:val="28"/>
        </w:rPr>
      </w:pPr>
    </w:p>
    <w:p w:rsidR="00340A03" w:rsidRDefault="00950473" w:rsidP="00950473">
      <w:pPr>
        <w:widowControl w:val="0"/>
        <w:rPr>
          <w:b/>
          <w:sz w:val="28"/>
          <w:szCs w:val="28"/>
        </w:rPr>
      </w:pPr>
      <w:r w:rsidRPr="00950473">
        <w:rPr>
          <w:sz w:val="28"/>
          <w:szCs w:val="28"/>
        </w:rPr>
        <w:t xml:space="preserve">Many organizations are changing to </w:t>
      </w:r>
      <w:r w:rsidRPr="00950473">
        <w:rPr>
          <w:b/>
          <w:sz w:val="28"/>
          <w:szCs w:val="28"/>
        </w:rPr>
        <w:t>activity-based costing (ABC) systems</w:t>
      </w:r>
      <w:r>
        <w:rPr>
          <w:b/>
          <w:sz w:val="28"/>
          <w:szCs w:val="28"/>
        </w:rPr>
        <w:t xml:space="preserve">, </w:t>
      </w:r>
    </w:p>
    <w:p w:rsidR="00340A03" w:rsidRDefault="00340A03" w:rsidP="00950473">
      <w:pPr>
        <w:widowControl w:val="0"/>
        <w:rPr>
          <w:b/>
          <w:sz w:val="28"/>
          <w:szCs w:val="28"/>
        </w:rPr>
      </w:pPr>
    </w:p>
    <w:p w:rsidR="00340A03" w:rsidRDefault="00340A03" w:rsidP="00950473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ABC recognizes that multiple activities may cause costs to be incurred.  </w:t>
      </w:r>
    </w:p>
    <w:p w:rsidR="00340A03" w:rsidRDefault="00340A03" w:rsidP="00950473">
      <w:pPr>
        <w:widowControl w:val="0"/>
        <w:rPr>
          <w:b/>
          <w:sz w:val="28"/>
          <w:szCs w:val="28"/>
        </w:rPr>
      </w:pPr>
    </w:p>
    <w:p w:rsidR="00950473" w:rsidRPr="00950473" w:rsidRDefault="00340A03" w:rsidP="00950473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>ABC</w:t>
      </w:r>
      <w:r w:rsidR="00950473" w:rsidRPr="00950473">
        <w:rPr>
          <w:sz w:val="28"/>
          <w:szCs w:val="28"/>
        </w:rPr>
        <w:t xml:space="preserve"> involves two stages:</w:t>
      </w:r>
    </w:p>
    <w:p w:rsidR="00950473" w:rsidRPr="00950473" w:rsidRDefault="00950473" w:rsidP="00950473">
      <w:pPr>
        <w:pStyle w:val="Footer"/>
        <w:rPr>
          <w:sz w:val="28"/>
          <w:szCs w:val="28"/>
        </w:rPr>
      </w:pPr>
    </w:p>
    <w:p w:rsidR="00950473" w:rsidRPr="00950473" w:rsidRDefault="00950473" w:rsidP="00863B4F">
      <w:pPr>
        <w:pStyle w:val="ListParagraph"/>
        <w:widowControl w:val="0"/>
        <w:numPr>
          <w:ilvl w:val="0"/>
          <w:numId w:val="2"/>
        </w:numPr>
        <w:rPr>
          <w:sz w:val="28"/>
          <w:szCs w:val="28"/>
        </w:rPr>
      </w:pPr>
      <w:r w:rsidRPr="00950473">
        <w:rPr>
          <w:b/>
          <w:i/>
          <w:sz w:val="28"/>
          <w:szCs w:val="28"/>
        </w:rPr>
        <w:t>STAGE ONE</w:t>
      </w:r>
      <w:r w:rsidRPr="00950473">
        <w:rPr>
          <w:i/>
          <w:sz w:val="28"/>
          <w:szCs w:val="28"/>
        </w:rPr>
        <w:t xml:space="preserve">: </w:t>
      </w:r>
      <w:r w:rsidRPr="00950473">
        <w:rPr>
          <w:sz w:val="28"/>
          <w:szCs w:val="28"/>
        </w:rPr>
        <w:t xml:space="preserve">The costs of an organization's significant activities are first isolated into </w:t>
      </w:r>
      <w:r w:rsidRPr="00950473">
        <w:rPr>
          <w:b/>
          <w:sz w:val="28"/>
          <w:szCs w:val="28"/>
        </w:rPr>
        <w:t>cost pools</w:t>
      </w:r>
      <w:r>
        <w:rPr>
          <w:sz w:val="28"/>
          <w:szCs w:val="28"/>
        </w:rPr>
        <w:t>, which</w:t>
      </w:r>
      <w:r w:rsidRPr="00950473">
        <w:rPr>
          <w:sz w:val="28"/>
          <w:szCs w:val="28"/>
        </w:rPr>
        <w:t xml:space="preserve"> fall into the following broad categories, </w:t>
      </w:r>
      <w:r>
        <w:rPr>
          <w:sz w:val="28"/>
          <w:szCs w:val="28"/>
        </w:rPr>
        <w:t xml:space="preserve">and </w:t>
      </w:r>
      <w:r w:rsidRPr="00950473">
        <w:rPr>
          <w:sz w:val="28"/>
          <w:szCs w:val="28"/>
        </w:rPr>
        <w:t xml:space="preserve">which collectively are known as a </w:t>
      </w:r>
      <w:r w:rsidRPr="00950473">
        <w:rPr>
          <w:b/>
          <w:sz w:val="28"/>
          <w:szCs w:val="28"/>
          <w:u w:val="single"/>
        </w:rPr>
        <w:t>cost hierarchy</w:t>
      </w:r>
      <w:r w:rsidRPr="00950473">
        <w:rPr>
          <w:sz w:val="28"/>
          <w:szCs w:val="28"/>
        </w:rPr>
        <w:t>:</w:t>
      </w:r>
    </w:p>
    <w:p w:rsidR="00950473" w:rsidRPr="00950473" w:rsidRDefault="00950473" w:rsidP="00950473">
      <w:pPr>
        <w:rPr>
          <w:sz w:val="28"/>
          <w:szCs w:val="28"/>
        </w:rPr>
      </w:pPr>
    </w:p>
    <w:p w:rsidR="00950473" w:rsidRPr="00950473" w:rsidRDefault="00950473" w:rsidP="00863B4F">
      <w:pPr>
        <w:pStyle w:val="ListParagraph"/>
        <w:widowControl w:val="0"/>
        <w:numPr>
          <w:ilvl w:val="0"/>
          <w:numId w:val="2"/>
        </w:numPr>
        <w:tabs>
          <w:tab w:val="num" w:pos="3240"/>
        </w:tabs>
        <w:ind w:left="1080"/>
        <w:rPr>
          <w:sz w:val="28"/>
          <w:szCs w:val="28"/>
        </w:rPr>
      </w:pPr>
      <w:r w:rsidRPr="00950473">
        <w:rPr>
          <w:b/>
          <w:sz w:val="28"/>
          <w:szCs w:val="28"/>
        </w:rPr>
        <w:t>Unit level—</w:t>
      </w:r>
      <w:r w:rsidRPr="00950473">
        <w:rPr>
          <w:sz w:val="28"/>
          <w:szCs w:val="28"/>
        </w:rPr>
        <w:t>activities that must be done for each unit of production (e.g., machining)</w:t>
      </w:r>
    </w:p>
    <w:p w:rsidR="00950473" w:rsidRPr="00950473" w:rsidRDefault="00950473" w:rsidP="00950473">
      <w:pPr>
        <w:ind w:left="360"/>
        <w:rPr>
          <w:sz w:val="28"/>
          <w:szCs w:val="28"/>
        </w:rPr>
      </w:pPr>
    </w:p>
    <w:p w:rsidR="00950473" w:rsidRPr="00950473" w:rsidRDefault="00950473" w:rsidP="00863B4F">
      <w:pPr>
        <w:pStyle w:val="ListParagraph"/>
        <w:widowControl w:val="0"/>
        <w:numPr>
          <w:ilvl w:val="0"/>
          <w:numId w:val="2"/>
        </w:numPr>
        <w:ind w:left="1080"/>
        <w:rPr>
          <w:sz w:val="28"/>
          <w:szCs w:val="28"/>
        </w:rPr>
      </w:pPr>
      <w:r w:rsidRPr="00950473">
        <w:rPr>
          <w:b/>
          <w:sz w:val="28"/>
          <w:szCs w:val="28"/>
        </w:rPr>
        <w:t>Batch level—</w:t>
      </w:r>
      <w:r w:rsidRPr="00950473">
        <w:rPr>
          <w:sz w:val="28"/>
          <w:szCs w:val="28"/>
        </w:rPr>
        <w:t>activities that are performed for each batch of product (e.g., setup, quality-assurance, and receiving)</w:t>
      </w:r>
    </w:p>
    <w:p w:rsidR="00950473" w:rsidRPr="00950473" w:rsidRDefault="00950473" w:rsidP="00950473">
      <w:pPr>
        <w:ind w:left="2520" w:hanging="2160"/>
        <w:rPr>
          <w:sz w:val="28"/>
          <w:szCs w:val="28"/>
        </w:rPr>
      </w:pPr>
    </w:p>
    <w:p w:rsidR="00950473" w:rsidRPr="00950473" w:rsidRDefault="00950473" w:rsidP="00863B4F">
      <w:pPr>
        <w:pStyle w:val="ListParagraph"/>
        <w:widowControl w:val="0"/>
        <w:numPr>
          <w:ilvl w:val="0"/>
          <w:numId w:val="2"/>
        </w:numPr>
        <w:ind w:left="1080"/>
        <w:rPr>
          <w:sz w:val="28"/>
          <w:szCs w:val="28"/>
        </w:rPr>
      </w:pPr>
      <w:r w:rsidRPr="00950473">
        <w:rPr>
          <w:b/>
          <w:sz w:val="28"/>
          <w:szCs w:val="28"/>
        </w:rPr>
        <w:t>Product-sustaining level—</w:t>
      </w:r>
      <w:r w:rsidRPr="00950473">
        <w:rPr>
          <w:sz w:val="28"/>
          <w:szCs w:val="28"/>
        </w:rPr>
        <w:t>activities that are performed to support an entire product line (e.g., engineering)</w:t>
      </w:r>
    </w:p>
    <w:p w:rsidR="00950473" w:rsidRPr="00950473" w:rsidRDefault="00950473" w:rsidP="00950473">
      <w:pPr>
        <w:ind w:left="2520" w:hanging="2160"/>
        <w:rPr>
          <w:sz w:val="28"/>
          <w:szCs w:val="28"/>
        </w:rPr>
      </w:pPr>
    </w:p>
    <w:p w:rsidR="00950473" w:rsidRPr="00950473" w:rsidRDefault="00950473" w:rsidP="00863B4F">
      <w:pPr>
        <w:pStyle w:val="ListParagraph"/>
        <w:widowControl w:val="0"/>
        <w:numPr>
          <w:ilvl w:val="0"/>
          <w:numId w:val="2"/>
        </w:numPr>
        <w:ind w:left="1080"/>
        <w:rPr>
          <w:sz w:val="28"/>
          <w:szCs w:val="28"/>
        </w:rPr>
      </w:pPr>
      <w:r w:rsidRPr="00950473">
        <w:rPr>
          <w:b/>
          <w:sz w:val="28"/>
          <w:szCs w:val="28"/>
        </w:rPr>
        <w:t>Facility (or general operations) level—</w:t>
      </w:r>
      <w:r w:rsidRPr="00950473">
        <w:rPr>
          <w:sz w:val="28"/>
          <w:szCs w:val="28"/>
        </w:rPr>
        <w:t>activities that are required for the entire manufacturing process to occur (e.g., plant management, plant maintenance, and depreciation)</w:t>
      </w:r>
    </w:p>
    <w:p w:rsidR="00950473" w:rsidRDefault="0095047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0473" w:rsidRDefault="00950473" w:rsidP="00950473">
      <w:pPr>
        <w:widowControl w:val="0"/>
        <w:rPr>
          <w:sz w:val="28"/>
          <w:szCs w:val="28"/>
        </w:rPr>
      </w:pPr>
      <w:r w:rsidRPr="00950473">
        <w:rPr>
          <w:b/>
          <w:i/>
          <w:sz w:val="28"/>
          <w:szCs w:val="28"/>
        </w:rPr>
        <w:lastRenderedPageBreak/>
        <w:t>STAGE TWO</w:t>
      </w:r>
      <w:r w:rsidRPr="00950473">
        <w:rPr>
          <w:i/>
          <w:sz w:val="28"/>
          <w:szCs w:val="28"/>
        </w:rPr>
        <w:t xml:space="preserve">: </w:t>
      </w:r>
      <w:r w:rsidRPr="00950473">
        <w:rPr>
          <w:sz w:val="28"/>
          <w:szCs w:val="28"/>
        </w:rPr>
        <w:t xml:space="preserve">The next step involves </w:t>
      </w:r>
      <w:r w:rsidRPr="00950473">
        <w:rPr>
          <w:b/>
          <w:sz w:val="28"/>
          <w:szCs w:val="28"/>
          <w:u w:val="single"/>
        </w:rPr>
        <w:t>identification of a cost driver for each pool</w:t>
      </w:r>
      <w:r w:rsidRPr="00950473">
        <w:rPr>
          <w:sz w:val="28"/>
          <w:szCs w:val="28"/>
        </w:rPr>
        <w:t xml:space="preserve">. </w:t>
      </w:r>
    </w:p>
    <w:p w:rsidR="00950473" w:rsidRPr="00950473" w:rsidRDefault="00950473" w:rsidP="00863B4F">
      <w:pPr>
        <w:pStyle w:val="ListParagraph"/>
        <w:widowControl w:val="0"/>
        <w:numPr>
          <w:ilvl w:val="0"/>
          <w:numId w:val="3"/>
        </w:numPr>
        <w:rPr>
          <w:sz w:val="28"/>
          <w:szCs w:val="28"/>
        </w:rPr>
      </w:pPr>
      <w:r w:rsidRPr="00950473">
        <w:rPr>
          <w:sz w:val="28"/>
          <w:szCs w:val="28"/>
        </w:rPr>
        <w:t>The system then assigns overhead costs by using the cost drivers and assessing the relative proportion of the activity consumed by a product.</w:t>
      </w:r>
    </w:p>
    <w:p w:rsidR="00950473" w:rsidRPr="00950473" w:rsidRDefault="00950473" w:rsidP="00950473">
      <w:pPr>
        <w:ind w:left="1440"/>
        <w:rPr>
          <w:i/>
          <w:sz w:val="28"/>
          <w:szCs w:val="28"/>
        </w:rPr>
      </w:pPr>
    </w:p>
    <w:p w:rsidR="00950473" w:rsidRPr="00950473" w:rsidRDefault="00950473" w:rsidP="00863B4F">
      <w:pPr>
        <w:pStyle w:val="ListParagraph"/>
        <w:widowControl w:val="0"/>
        <w:numPr>
          <w:ilvl w:val="0"/>
          <w:numId w:val="3"/>
        </w:numPr>
        <w:tabs>
          <w:tab w:val="num" w:pos="2880"/>
        </w:tabs>
        <w:rPr>
          <w:sz w:val="28"/>
          <w:szCs w:val="28"/>
        </w:rPr>
      </w:pPr>
      <w:r w:rsidRPr="00950473">
        <w:rPr>
          <w:sz w:val="28"/>
          <w:szCs w:val="28"/>
        </w:rPr>
        <w:t xml:space="preserve">This process results in the calculation of a </w:t>
      </w:r>
      <w:r w:rsidRPr="00950473">
        <w:rPr>
          <w:b/>
          <w:sz w:val="28"/>
          <w:szCs w:val="28"/>
        </w:rPr>
        <w:t>pool rate,</w:t>
      </w:r>
      <w:r w:rsidRPr="00950473">
        <w:rPr>
          <w:sz w:val="28"/>
          <w:szCs w:val="28"/>
        </w:rPr>
        <w:t xml:space="preserve"> a per-unit cost of the cost driver, and an eventual cost for each product line.</w:t>
      </w:r>
    </w:p>
    <w:p w:rsidR="00950473" w:rsidRPr="00950473" w:rsidRDefault="00950473" w:rsidP="00950473">
      <w:pPr>
        <w:widowControl w:val="0"/>
        <w:tabs>
          <w:tab w:val="num" w:pos="2880"/>
        </w:tabs>
        <w:rPr>
          <w:sz w:val="28"/>
          <w:szCs w:val="28"/>
        </w:rPr>
      </w:pPr>
    </w:p>
    <w:p w:rsidR="00950473" w:rsidRPr="00950473" w:rsidRDefault="00950473" w:rsidP="00950473">
      <w:pPr>
        <w:rPr>
          <w:sz w:val="28"/>
          <w:szCs w:val="28"/>
        </w:rPr>
      </w:pPr>
      <w:r w:rsidRPr="00950473">
        <w:rPr>
          <w:sz w:val="28"/>
          <w:szCs w:val="28"/>
        </w:rPr>
        <w:t xml:space="preserve">The distinctive feature of activity-based costing is that it </w:t>
      </w:r>
      <w:r w:rsidRPr="00950473">
        <w:rPr>
          <w:b/>
          <w:sz w:val="28"/>
          <w:szCs w:val="28"/>
        </w:rPr>
        <w:t>recognizes that overhead costs are caused by activities</w:t>
      </w:r>
      <w:r>
        <w:rPr>
          <w:sz w:val="28"/>
          <w:szCs w:val="28"/>
        </w:rPr>
        <w:t xml:space="preserve">. </w:t>
      </w:r>
      <w:r w:rsidRPr="00950473">
        <w:rPr>
          <w:sz w:val="28"/>
          <w:szCs w:val="28"/>
        </w:rPr>
        <w:t xml:space="preserve"> </w:t>
      </w:r>
    </w:p>
    <w:p w:rsidR="00950473" w:rsidRPr="00950473" w:rsidRDefault="00950473" w:rsidP="00950473">
      <w:pPr>
        <w:rPr>
          <w:sz w:val="28"/>
          <w:szCs w:val="28"/>
        </w:rPr>
      </w:pPr>
    </w:p>
    <w:p w:rsidR="00950473" w:rsidRPr="00950473" w:rsidRDefault="00950473" w:rsidP="00950473">
      <w:pPr>
        <w:rPr>
          <w:sz w:val="28"/>
          <w:szCs w:val="28"/>
        </w:rPr>
      </w:pPr>
      <w:r w:rsidRPr="00950473">
        <w:rPr>
          <w:b/>
          <w:sz w:val="28"/>
          <w:szCs w:val="28"/>
        </w:rPr>
        <w:t>Cost drivers for the activities should reflect the cost incurrence in the activity</w:t>
      </w:r>
      <w:r w:rsidRPr="00950473">
        <w:rPr>
          <w:sz w:val="28"/>
          <w:szCs w:val="28"/>
        </w:rPr>
        <w:t xml:space="preserve">, even if cost is not caused by volume. </w:t>
      </w:r>
    </w:p>
    <w:p w:rsidR="00950473" w:rsidRPr="00950473" w:rsidRDefault="00950473" w:rsidP="00950473">
      <w:pPr>
        <w:rPr>
          <w:sz w:val="28"/>
          <w:szCs w:val="28"/>
        </w:rPr>
      </w:pPr>
    </w:p>
    <w:p w:rsidR="00950473" w:rsidRDefault="00950473" w:rsidP="00950473">
      <w:pPr>
        <w:rPr>
          <w:sz w:val="28"/>
          <w:szCs w:val="28"/>
        </w:rPr>
      </w:pPr>
      <w:r w:rsidRPr="00950473">
        <w:rPr>
          <w:b/>
          <w:sz w:val="28"/>
          <w:szCs w:val="28"/>
        </w:rPr>
        <w:t>Identifying activities that use resources is the most interesting and challenging part of the ABC process</w:t>
      </w:r>
      <w:r w:rsidRPr="00950473">
        <w:rPr>
          <w:sz w:val="28"/>
          <w:szCs w:val="28"/>
        </w:rPr>
        <w:t xml:space="preserve">, from which much of the value of activity-based costing comes. </w:t>
      </w:r>
    </w:p>
    <w:p w:rsidR="00950473" w:rsidRDefault="00950473" w:rsidP="00950473">
      <w:pPr>
        <w:rPr>
          <w:sz w:val="28"/>
          <w:szCs w:val="28"/>
        </w:rPr>
      </w:pPr>
    </w:p>
    <w:p w:rsidR="00950473" w:rsidRPr="00950473" w:rsidRDefault="00950473" w:rsidP="00950473">
      <w:pPr>
        <w:rPr>
          <w:sz w:val="28"/>
          <w:szCs w:val="28"/>
        </w:rPr>
      </w:pPr>
      <w:r w:rsidRPr="00950473">
        <w:rPr>
          <w:sz w:val="28"/>
          <w:szCs w:val="28"/>
        </w:rPr>
        <w:t xml:space="preserve">A cost-benefit consideration dictates that companies identify only the most important activities. </w:t>
      </w:r>
    </w:p>
    <w:p w:rsidR="00950473" w:rsidRDefault="0095047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3C62" w:rsidRPr="00A71EE7" w:rsidRDefault="00B13C62" w:rsidP="00B13C62">
      <w:pPr>
        <w:rPr>
          <w:b/>
          <w:sz w:val="28"/>
          <w:szCs w:val="28"/>
        </w:rPr>
      </w:pPr>
      <w:r w:rsidRPr="00A71EE7">
        <w:rPr>
          <w:b/>
          <w:sz w:val="28"/>
          <w:szCs w:val="28"/>
        </w:rPr>
        <w:lastRenderedPageBreak/>
        <w:t>How A Two-Stage Product Costing System Works.</w:t>
      </w:r>
    </w:p>
    <w:p w:rsidR="00B13C62" w:rsidRPr="00A71EE7" w:rsidRDefault="00B13C62" w:rsidP="00B13C62"/>
    <w:p w:rsidR="00B13C62" w:rsidRPr="00B13C62" w:rsidRDefault="00B13C62" w:rsidP="00B13C62">
      <w:pPr>
        <w:rPr>
          <w:sz w:val="28"/>
          <w:szCs w:val="28"/>
        </w:rPr>
      </w:pPr>
      <w:r w:rsidRPr="00B13C62">
        <w:rPr>
          <w:sz w:val="28"/>
          <w:szCs w:val="28"/>
        </w:rPr>
        <w:t xml:space="preserve">Let’s assume a manufacturing operation.  </w:t>
      </w:r>
    </w:p>
    <w:p w:rsidR="00B13C62" w:rsidRPr="00B13C62" w:rsidRDefault="00B13C62" w:rsidP="00B13C62">
      <w:pPr>
        <w:rPr>
          <w:sz w:val="28"/>
          <w:szCs w:val="28"/>
        </w:rPr>
      </w:pPr>
    </w:p>
    <w:p w:rsidR="00B13C62" w:rsidRDefault="00B13C62" w:rsidP="00255C54">
      <w:pPr>
        <w:rPr>
          <w:sz w:val="28"/>
          <w:szCs w:val="28"/>
        </w:rPr>
      </w:pPr>
      <w:r w:rsidRPr="00B13C62">
        <w:rPr>
          <w:sz w:val="28"/>
          <w:szCs w:val="28"/>
        </w:rPr>
        <w:t xml:space="preserve">The basic approach in product costing is to allocate costs in the cost pools that record manufacturing costs and assign, or </w:t>
      </w:r>
      <w:proofErr w:type="gramStart"/>
      <w:r w:rsidRPr="00B13C62">
        <w:rPr>
          <w:sz w:val="28"/>
          <w:szCs w:val="28"/>
        </w:rPr>
        <w:t>allocate,</w:t>
      </w:r>
      <w:proofErr w:type="gramEnd"/>
      <w:r w:rsidRPr="00B13C62">
        <w:rPr>
          <w:sz w:val="28"/>
          <w:szCs w:val="28"/>
        </w:rPr>
        <w:t xml:space="preserve"> these costs to the products or services of interest by using appropriate cost allocation bases or cost drivers.</w:t>
      </w:r>
    </w:p>
    <w:p w:rsidR="00255C54" w:rsidRDefault="00255C54" w:rsidP="00255C54">
      <w:pPr>
        <w:rPr>
          <w:sz w:val="28"/>
          <w:szCs w:val="28"/>
        </w:rPr>
      </w:pPr>
    </w:p>
    <w:p w:rsidR="00255C54" w:rsidRPr="00A71EE7" w:rsidRDefault="00255C54" w:rsidP="00255C54">
      <w:pPr>
        <w:ind w:left="720"/>
      </w:pPr>
    </w:p>
    <w:p w:rsidR="00255C54" w:rsidRPr="00D3421A" w:rsidRDefault="00255C54" w:rsidP="00255C54">
      <w:pPr>
        <w:rPr>
          <w:b/>
        </w:rPr>
      </w:pPr>
      <w:r w:rsidRPr="00D3421A">
        <w:rPr>
          <w:b/>
        </w:rPr>
        <w:t>The two-stage approach in allocating manufacturing overhead in product costing involves the following:</w:t>
      </w:r>
    </w:p>
    <w:p w:rsidR="00255C54" w:rsidRDefault="00255C54" w:rsidP="00255C54">
      <w:pPr>
        <w:ind w:left="720"/>
      </w:pPr>
    </w:p>
    <w:p w:rsidR="00255C54" w:rsidRPr="00A71EE7" w:rsidRDefault="00255C54" w:rsidP="00255C54">
      <w:r>
        <w:rPr>
          <w:noProof/>
        </w:rPr>
        <w:drawing>
          <wp:inline distT="0" distB="0" distL="0" distR="0" wp14:anchorId="56BC0B51" wp14:editId="070B154B">
            <wp:extent cx="5943600" cy="2401570"/>
            <wp:effectExtent l="0" t="0" r="0" b="0"/>
            <wp:docPr id="4" name="Picture 4" descr="C:\Users\jhassell\AppData\Local\Microsoft\Windows\Temporary Internet Files\Content.Outlook\3P083SER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assell\AppData\Local\Microsoft\Windows\Temporary Internet Files\Content.Outlook\3P083SER\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C54" w:rsidRDefault="00255C54" w:rsidP="00255C54">
      <w:pPr>
        <w:rPr>
          <w:sz w:val="28"/>
          <w:szCs w:val="28"/>
        </w:rPr>
      </w:pPr>
    </w:p>
    <w:p w:rsidR="00B13C62" w:rsidRDefault="00B13C6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2CD6" w:rsidRPr="00D82A80" w:rsidRDefault="00352CD6" w:rsidP="00352CD6">
      <w:pPr>
        <w:rPr>
          <w:b/>
          <w:sz w:val="28"/>
          <w:szCs w:val="28"/>
        </w:rPr>
      </w:pPr>
      <w:r w:rsidRPr="00D82A80">
        <w:rPr>
          <w:b/>
          <w:sz w:val="28"/>
          <w:szCs w:val="28"/>
        </w:rPr>
        <w:lastRenderedPageBreak/>
        <w:t>ABC PROCESS</w:t>
      </w:r>
    </w:p>
    <w:p w:rsidR="00352CD6" w:rsidRPr="00D82A80" w:rsidRDefault="00352CD6" w:rsidP="00352CD6">
      <w:pPr>
        <w:rPr>
          <w:sz w:val="28"/>
          <w:szCs w:val="28"/>
        </w:rPr>
      </w:pPr>
    </w:p>
    <w:p w:rsidR="00352CD6" w:rsidRDefault="00352CD6" w:rsidP="00352CD6">
      <w:pPr>
        <w:rPr>
          <w:sz w:val="28"/>
          <w:szCs w:val="28"/>
        </w:rPr>
      </w:pPr>
      <w:r w:rsidRPr="00D82A80">
        <w:rPr>
          <w:b/>
          <w:sz w:val="28"/>
          <w:szCs w:val="28"/>
        </w:rPr>
        <w:t>Activity-based costing</w:t>
      </w:r>
      <w:r w:rsidRPr="00D82A80">
        <w:rPr>
          <w:sz w:val="28"/>
          <w:szCs w:val="28"/>
        </w:rPr>
        <w:t xml:space="preserve"> (ABC) is a two-stage product costing method</w:t>
      </w:r>
      <w:r>
        <w:rPr>
          <w:sz w:val="28"/>
          <w:szCs w:val="28"/>
        </w:rPr>
        <w:t xml:space="preserve">:  </w:t>
      </w:r>
    </w:p>
    <w:p w:rsidR="00352CD6" w:rsidRDefault="00352CD6" w:rsidP="00352CD6">
      <w:pPr>
        <w:ind w:left="720"/>
        <w:rPr>
          <w:sz w:val="28"/>
          <w:szCs w:val="28"/>
        </w:rPr>
      </w:pPr>
      <w:r>
        <w:rPr>
          <w:sz w:val="28"/>
          <w:szCs w:val="28"/>
        </w:rPr>
        <w:t>(1)</w:t>
      </w:r>
      <w:r w:rsidRPr="00D82A80">
        <w:rPr>
          <w:sz w:val="28"/>
          <w:szCs w:val="28"/>
        </w:rPr>
        <w:t xml:space="preserve"> </w:t>
      </w:r>
      <w:proofErr w:type="gramStart"/>
      <w:r w:rsidRPr="00D82A80">
        <w:rPr>
          <w:sz w:val="28"/>
          <w:szCs w:val="28"/>
        </w:rPr>
        <w:t>assigns</w:t>
      </w:r>
      <w:proofErr w:type="gramEnd"/>
      <w:r w:rsidRPr="00D82A80">
        <w:rPr>
          <w:sz w:val="28"/>
          <w:szCs w:val="28"/>
        </w:rPr>
        <w:t xml:space="preserve"> costs to </w:t>
      </w:r>
      <w:r>
        <w:rPr>
          <w:sz w:val="28"/>
          <w:szCs w:val="28"/>
        </w:rPr>
        <w:t xml:space="preserve">cost pools (usually based upon activities) </w:t>
      </w:r>
      <w:r w:rsidRPr="00D82A80">
        <w:rPr>
          <w:sz w:val="28"/>
          <w:szCs w:val="28"/>
        </w:rPr>
        <w:t xml:space="preserve">and </w:t>
      </w:r>
    </w:p>
    <w:p w:rsidR="00352CD6" w:rsidRPr="00D82A80" w:rsidRDefault="00352CD6" w:rsidP="00352CD6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(2) </w:t>
      </w:r>
      <w:proofErr w:type="gramStart"/>
      <w:r w:rsidRPr="00D82A80">
        <w:rPr>
          <w:sz w:val="28"/>
          <w:szCs w:val="28"/>
        </w:rPr>
        <w:t>allocates</w:t>
      </w:r>
      <w:proofErr w:type="gramEnd"/>
      <w:r w:rsidRPr="00D82A80">
        <w:rPr>
          <w:sz w:val="28"/>
          <w:szCs w:val="28"/>
        </w:rPr>
        <w:t xml:space="preserve"> them to products based on the products’ consumption of activities.</w:t>
      </w:r>
    </w:p>
    <w:p w:rsidR="00352CD6" w:rsidRPr="00D82A80" w:rsidRDefault="00352CD6" w:rsidP="00352CD6">
      <w:pPr>
        <w:rPr>
          <w:sz w:val="28"/>
          <w:szCs w:val="28"/>
        </w:rPr>
      </w:pPr>
    </w:p>
    <w:p w:rsidR="00352CD6" w:rsidRPr="00D82A80" w:rsidRDefault="00352CD6" w:rsidP="00352CD6">
      <w:pPr>
        <w:numPr>
          <w:ilvl w:val="0"/>
          <w:numId w:val="4"/>
        </w:numPr>
        <w:rPr>
          <w:sz w:val="28"/>
          <w:szCs w:val="28"/>
        </w:rPr>
      </w:pPr>
      <w:r w:rsidRPr="00D82A80">
        <w:rPr>
          <w:sz w:val="28"/>
          <w:szCs w:val="28"/>
        </w:rPr>
        <w:t xml:space="preserve">The cost pools in the two-stage approach now accumulate activity-related costs. </w:t>
      </w:r>
    </w:p>
    <w:p w:rsidR="00352CD6" w:rsidRPr="00D82A80" w:rsidRDefault="00352CD6" w:rsidP="00352CD6">
      <w:pPr>
        <w:ind w:left="720"/>
        <w:rPr>
          <w:sz w:val="28"/>
          <w:szCs w:val="28"/>
        </w:rPr>
      </w:pPr>
    </w:p>
    <w:p w:rsidR="00352CD6" w:rsidRPr="00D82A80" w:rsidRDefault="00352CD6" w:rsidP="00352CD6">
      <w:pPr>
        <w:numPr>
          <w:ilvl w:val="0"/>
          <w:numId w:val="4"/>
        </w:numPr>
        <w:rPr>
          <w:sz w:val="28"/>
          <w:szCs w:val="28"/>
        </w:rPr>
      </w:pPr>
      <w:r w:rsidRPr="00D82A80">
        <w:rPr>
          <w:sz w:val="28"/>
          <w:szCs w:val="28"/>
        </w:rPr>
        <w:t xml:space="preserve">An </w:t>
      </w:r>
      <w:r w:rsidRPr="00D82A80">
        <w:rPr>
          <w:i/>
          <w:sz w:val="28"/>
          <w:szCs w:val="28"/>
        </w:rPr>
        <w:t>activity</w:t>
      </w:r>
      <w:r w:rsidRPr="00D82A80">
        <w:rPr>
          <w:sz w:val="28"/>
          <w:szCs w:val="28"/>
        </w:rPr>
        <w:t xml:space="preserve"> is any discrete task that an organization undertakes to make or deliver a product or service. </w:t>
      </w:r>
    </w:p>
    <w:p w:rsidR="00352CD6" w:rsidRPr="00D82A80" w:rsidRDefault="00352CD6" w:rsidP="00352CD6">
      <w:pPr>
        <w:ind w:left="720"/>
        <w:rPr>
          <w:sz w:val="28"/>
          <w:szCs w:val="28"/>
        </w:rPr>
      </w:pPr>
    </w:p>
    <w:p w:rsidR="00352CD6" w:rsidRPr="00D82A80" w:rsidRDefault="00352CD6" w:rsidP="00352CD6">
      <w:pPr>
        <w:numPr>
          <w:ilvl w:val="0"/>
          <w:numId w:val="4"/>
        </w:numPr>
        <w:rPr>
          <w:sz w:val="28"/>
          <w:szCs w:val="28"/>
        </w:rPr>
      </w:pPr>
      <w:r w:rsidRPr="00D82A80">
        <w:rPr>
          <w:sz w:val="28"/>
          <w:szCs w:val="28"/>
        </w:rPr>
        <w:t xml:space="preserve">Activity-based costing is based on the concept that products consume activities and activities consume resources. </w:t>
      </w:r>
    </w:p>
    <w:p w:rsidR="00352CD6" w:rsidRPr="00D82A80" w:rsidRDefault="00352CD6" w:rsidP="00352CD6">
      <w:pPr>
        <w:ind w:left="720"/>
        <w:rPr>
          <w:sz w:val="28"/>
          <w:szCs w:val="28"/>
        </w:rPr>
      </w:pPr>
    </w:p>
    <w:p w:rsidR="00352CD6" w:rsidRPr="00D82A80" w:rsidRDefault="00352CD6" w:rsidP="00352CD6">
      <w:pPr>
        <w:numPr>
          <w:ilvl w:val="0"/>
          <w:numId w:val="4"/>
        </w:numPr>
        <w:rPr>
          <w:sz w:val="28"/>
          <w:szCs w:val="28"/>
        </w:rPr>
      </w:pPr>
      <w:r w:rsidRPr="00D82A80">
        <w:rPr>
          <w:sz w:val="28"/>
          <w:szCs w:val="28"/>
        </w:rPr>
        <w:t>Activity-based costing involves the following four steps:</w:t>
      </w:r>
    </w:p>
    <w:p w:rsidR="00352CD6" w:rsidRPr="00D82A80" w:rsidRDefault="00352CD6" w:rsidP="00352CD6">
      <w:pPr>
        <w:numPr>
          <w:ilvl w:val="1"/>
          <w:numId w:val="4"/>
        </w:numPr>
        <w:rPr>
          <w:b/>
          <w:sz w:val="28"/>
          <w:szCs w:val="28"/>
        </w:rPr>
      </w:pPr>
      <w:r w:rsidRPr="00D82A80">
        <w:rPr>
          <w:b/>
          <w:sz w:val="28"/>
          <w:szCs w:val="28"/>
        </w:rPr>
        <w:t>Identify the activities that consume resources and assign costs to them.</w:t>
      </w:r>
    </w:p>
    <w:p w:rsidR="00352CD6" w:rsidRDefault="00352CD6" w:rsidP="00352CD6">
      <w:pPr>
        <w:numPr>
          <w:ilvl w:val="1"/>
          <w:numId w:val="4"/>
        </w:numPr>
        <w:rPr>
          <w:sz w:val="28"/>
          <w:szCs w:val="28"/>
        </w:rPr>
      </w:pPr>
      <w:r w:rsidRPr="00D82A80">
        <w:rPr>
          <w:b/>
          <w:sz w:val="28"/>
          <w:szCs w:val="28"/>
        </w:rPr>
        <w:t>Identify the cost driver(s) associated with each activity</w:t>
      </w:r>
      <w:r w:rsidRPr="00D82A80">
        <w:rPr>
          <w:sz w:val="28"/>
          <w:szCs w:val="28"/>
        </w:rPr>
        <w:t xml:space="preserve">. </w:t>
      </w:r>
    </w:p>
    <w:p w:rsidR="00352CD6" w:rsidRDefault="00352CD6" w:rsidP="00352CD6">
      <w:pPr>
        <w:numPr>
          <w:ilvl w:val="2"/>
          <w:numId w:val="4"/>
        </w:numPr>
        <w:rPr>
          <w:sz w:val="28"/>
          <w:szCs w:val="28"/>
        </w:rPr>
      </w:pPr>
      <w:r w:rsidRPr="00D82A80">
        <w:rPr>
          <w:sz w:val="28"/>
          <w:szCs w:val="28"/>
        </w:rPr>
        <w:t xml:space="preserve">A </w:t>
      </w:r>
      <w:r w:rsidRPr="00D82A80">
        <w:rPr>
          <w:b/>
          <w:sz w:val="28"/>
          <w:szCs w:val="28"/>
        </w:rPr>
        <w:t>cost driver</w:t>
      </w:r>
      <w:r w:rsidRPr="00D82A80">
        <w:rPr>
          <w:sz w:val="28"/>
          <w:szCs w:val="28"/>
        </w:rPr>
        <w:t xml:space="preserve"> is any factor that causes, or “drives,” an activity’s costs.  </w:t>
      </w:r>
    </w:p>
    <w:p w:rsidR="00352CD6" w:rsidRPr="00D82A80" w:rsidRDefault="00352CD6" w:rsidP="00352CD6">
      <w:pPr>
        <w:numPr>
          <w:ilvl w:val="2"/>
          <w:numId w:val="4"/>
        </w:numPr>
        <w:rPr>
          <w:sz w:val="28"/>
          <w:szCs w:val="28"/>
        </w:rPr>
      </w:pPr>
      <w:r w:rsidRPr="00D82A80">
        <w:rPr>
          <w:b/>
          <w:sz w:val="28"/>
          <w:szCs w:val="28"/>
        </w:rPr>
        <w:t>Determining the cost driver is an important, key decision</w:t>
      </w:r>
      <w:r w:rsidRPr="00D82A80">
        <w:rPr>
          <w:sz w:val="28"/>
          <w:szCs w:val="28"/>
        </w:rPr>
        <w:t xml:space="preserve">, and the quality of the process depends upon this decision. </w:t>
      </w:r>
    </w:p>
    <w:p w:rsidR="00352CD6" w:rsidRPr="00D82A80" w:rsidRDefault="00352CD6" w:rsidP="00352CD6">
      <w:pPr>
        <w:numPr>
          <w:ilvl w:val="1"/>
          <w:numId w:val="4"/>
        </w:numPr>
        <w:rPr>
          <w:sz w:val="28"/>
          <w:szCs w:val="28"/>
        </w:rPr>
      </w:pPr>
      <w:r w:rsidRPr="00D82A80">
        <w:rPr>
          <w:b/>
          <w:sz w:val="28"/>
          <w:szCs w:val="28"/>
        </w:rPr>
        <w:t>Compute a cost rate per cost driver unit</w:t>
      </w:r>
      <w:r w:rsidRPr="00D82A80">
        <w:rPr>
          <w:sz w:val="28"/>
          <w:szCs w:val="28"/>
        </w:rPr>
        <w:t xml:space="preserve"> or transaction. Each activity could have multiple cost drivers.</w:t>
      </w:r>
    </w:p>
    <w:p w:rsidR="00352CD6" w:rsidRDefault="00352CD6" w:rsidP="00352CD6">
      <w:pPr>
        <w:numPr>
          <w:ilvl w:val="1"/>
          <w:numId w:val="4"/>
        </w:numPr>
        <w:rPr>
          <w:sz w:val="28"/>
          <w:szCs w:val="28"/>
        </w:rPr>
      </w:pPr>
      <w:r w:rsidRPr="00D82A80">
        <w:rPr>
          <w:b/>
          <w:sz w:val="28"/>
          <w:szCs w:val="28"/>
        </w:rPr>
        <w:t>Assign costs to products by multiplying the cost driver rate by the volume of cost driver units consumed by the product</w:t>
      </w:r>
      <w:r w:rsidRPr="00D82A80">
        <w:rPr>
          <w:sz w:val="28"/>
          <w:szCs w:val="28"/>
        </w:rPr>
        <w:t>.</w:t>
      </w:r>
    </w:p>
    <w:p w:rsidR="00340A03" w:rsidRPr="00340A03" w:rsidRDefault="00340A03" w:rsidP="00340A03">
      <w:pPr>
        <w:numPr>
          <w:ilvl w:val="2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>Costs are usually applied on the basis of predetermined overhead rates</w:t>
      </w:r>
    </w:p>
    <w:p w:rsidR="00340A03" w:rsidRPr="00D82A80" w:rsidRDefault="00340A03" w:rsidP="00340A03">
      <w:pPr>
        <w:numPr>
          <w:ilvl w:val="2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Therefore, at the end of each period, an amount of overhead will be over (under) applied for each cost pool.  </w:t>
      </w:r>
    </w:p>
    <w:p w:rsidR="006B3864" w:rsidRDefault="006B386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3C62" w:rsidRPr="002C003D" w:rsidRDefault="006B3864" w:rsidP="006B3864">
      <w:pPr>
        <w:rPr>
          <w:b/>
          <w:sz w:val="28"/>
          <w:szCs w:val="28"/>
        </w:rPr>
      </w:pPr>
      <w:r w:rsidRPr="002C003D">
        <w:rPr>
          <w:b/>
          <w:sz w:val="28"/>
          <w:szCs w:val="28"/>
        </w:rPr>
        <w:lastRenderedPageBreak/>
        <w:t>Advantage of ABC</w:t>
      </w:r>
    </w:p>
    <w:p w:rsidR="006B3864" w:rsidRPr="002C003D" w:rsidRDefault="006B3864" w:rsidP="006B3864">
      <w:pPr>
        <w:rPr>
          <w:sz w:val="28"/>
          <w:szCs w:val="28"/>
        </w:rPr>
      </w:pPr>
    </w:p>
    <w:p w:rsidR="006B3864" w:rsidRPr="002C003D" w:rsidRDefault="006B3864" w:rsidP="006B3864">
      <w:pPr>
        <w:widowControl w:val="0"/>
        <w:rPr>
          <w:sz w:val="28"/>
          <w:szCs w:val="28"/>
        </w:rPr>
      </w:pPr>
      <w:r w:rsidRPr="002C003D">
        <w:rPr>
          <w:sz w:val="28"/>
          <w:szCs w:val="28"/>
        </w:rPr>
        <w:t xml:space="preserve">Costing is improved when ABC is used, as the system identifies products that were </w:t>
      </w:r>
      <w:proofErr w:type="spellStart"/>
      <w:r w:rsidRPr="002C003D">
        <w:rPr>
          <w:sz w:val="28"/>
          <w:szCs w:val="28"/>
        </w:rPr>
        <w:t>overcosted</w:t>
      </w:r>
      <w:proofErr w:type="spellEnd"/>
      <w:r w:rsidRPr="002C003D">
        <w:rPr>
          <w:sz w:val="28"/>
          <w:szCs w:val="28"/>
        </w:rPr>
        <w:t xml:space="preserve"> or </w:t>
      </w:r>
      <w:proofErr w:type="spellStart"/>
      <w:r w:rsidRPr="002C003D">
        <w:rPr>
          <w:sz w:val="28"/>
          <w:szCs w:val="28"/>
        </w:rPr>
        <w:t>undercosted</w:t>
      </w:r>
      <w:proofErr w:type="spellEnd"/>
      <w:r w:rsidRPr="002C003D">
        <w:rPr>
          <w:sz w:val="28"/>
          <w:szCs w:val="28"/>
        </w:rPr>
        <w:t xml:space="preserve"> by traditional methods.   </w:t>
      </w:r>
    </w:p>
    <w:p w:rsidR="00E36845" w:rsidRPr="002C003D" w:rsidRDefault="006B3864" w:rsidP="00E36845">
      <w:pPr>
        <w:pStyle w:val="ListParagraph"/>
        <w:widowControl w:val="0"/>
        <w:numPr>
          <w:ilvl w:val="0"/>
          <w:numId w:val="14"/>
        </w:numPr>
        <w:rPr>
          <w:sz w:val="28"/>
          <w:szCs w:val="28"/>
        </w:rPr>
      </w:pPr>
      <w:r w:rsidRPr="002C003D">
        <w:rPr>
          <w:sz w:val="28"/>
          <w:szCs w:val="28"/>
        </w:rPr>
        <w:t xml:space="preserve">In many cases, traditional, volume-costing systems </w:t>
      </w:r>
      <w:proofErr w:type="spellStart"/>
      <w:r w:rsidRPr="002C003D">
        <w:rPr>
          <w:i/>
          <w:sz w:val="28"/>
          <w:szCs w:val="28"/>
        </w:rPr>
        <w:t>overcost</w:t>
      </w:r>
      <w:proofErr w:type="spellEnd"/>
      <w:r w:rsidRPr="002C003D">
        <w:rPr>
          <w:i/>
          <w:sz w:val="28"/>
          <w:szCs w:val="28"/>
        </w:rPr>
        <w:t xml:space="preserve"> high-volume product lines</w:t>
      </w:r>
      <w:r w:rsidRPr="002C003D">
        <w:rPr>
          <w:sz w:val="28"/>
          <w:szCs w:val="28"/>
        </w:rPr>
        <w:t xml:space="preserve"> and </w:t>
      </w:r>
      <w:proofErr w:type="spellStart"/>
      <w:r w:rsidRPr="002C003D">
        <w:rPr>
          <w:i/>
          <w:sz w:val="28"/>
          <w:szCs w:val="28"/>
        </w:rPr>
        <w:t>undercost</w:t>
      </w:r>
      <w:proofErr w:type="spellEnd"/>
      <w:r w:rsidRPr="002C003D">
        <w:rPr>
          <w:i/>
          <w:sz w:val="28"/>
          <w:szCs w:val="28"/>
        </w:rPr>
        <w:t xml:space="preserve"> complex, relatively low-volume lines</w:t>
      </w:r>
      <w:r w:rsidRPr="002C003D">
        <w:rPr>
          <w:sz w:val="28"/>
          <w:szCs w:val="28"/>
        </w:rPr>
        <w:t xml:space="preserve">.  </w:t>
      </w:r>
    </w:p>
    <w:p w:rsidR="006B3864" w:rsidRPr="002C003D" w:rsidRDefault="006B3864" w:rsidP="00E36845">
      <w:pPr>
        <w:pStyle w:val="ListParagraph"/>
        <w:widowControl w:val="0"/>
        <w:numPr>
          <w:ilvl w:val="0"/>
          <w:numId w:val="14"/>
        </w:numPr>
        <w:rPr>
          <w:sz w:val="28"/>
          <w:szCs w:val="28"/>
        </w:rPr>
      </w:pPr>
      <w:r w:rsidRPr="002C003D">
        <w:rPr>
          <w:sz w:val="28"/>
          <w:szCs w:val="28"/>
        </w:rPr>
        <w:t xml:space="preserve">Thus, high-volume products essentially subsidize the low-volume lines. </w:t>
      </w:r>
    </w:p>
    <w:p w:rsidR="006B3864" w:rsidRPr="002C003D" w:rsidRDefault="006B3864" w:rsidP="006B3864">
      <w:pPr>
        <w:rPr>
          <w:sz w:val="28"/>
          <w:szCs w:val="28"/>
        </w:rPr>
      </w:pPr>
    </w:p>
    <w:p w:rsidR="00B13C62" w:rsidRPr="002C003D" w:rsidRDefault="00B13C62" w:rsidP="00B13C62">
      <w:pPr>
        <w:rPr>
          <w:sz w:val="28"/>
          <w:szCs w:val="28"/>
        </w:rPr>
      </w:pPr>
    </w:p>
    <w:p w:rsidR="00950473" w:rsidRPr="00EC2D04" w:rsidRDefault="00EC2D04">
      <w:pPr>
        <w:rPr>
          <w:b/>
          <w:sz w:val="28"/>
          <w:szCs w:val="28"/>
        </w:rPr>
      </w:pPr>
      <w:r w:rsidRPr="00EC2D04">
        <w:rPr>
          <w:b/>
          <w:sz w:val="28"/>
          <w:szCs w:val="28"/>
        </w:rPr>
        <w:t>COST DRIVERS</w:t>
      </w:r>
    </w:p>
    <w:p w:rsidR="00EC2D04" w:rsidRPr="00EC2D04" w:rsidRDefault="00EC2D04">
      <w:pPr>
        <w:rPr>
          <w:sz w:val="28"/>
          <w:szCs w:val="28"/>
        </w:rPr>
      </w:pPr>
    </w:p>
    <w:p w:rsidR="00EC2D04" w:rsidRPr="00EC2D04" w:rsidRDefault="00EC2D04" w:rsidP="00EC2D04">
      <w:pPr>
        <w:widowControl w:val="0"/>
        <w:rPr>
          <w:sz w:val="28"/>
          <w:szCs w:val="28"/>
        </w:rPr>
      </w:pPr>
      <w:r w:rsidRPr="00EC2D04">
        <w:rPr>
          <w:b/>
          <w:sz w:val="28"/>
          <w:szCs w:val="28"/>
        </w:rPr>
        <w:t xml:space="preserve">The degree of correlation between activity consumption and consumption of the driver has a significant impact on the accuracy of the ABC-costing effort.  </w:t>
      </w:r>
      <w:r w:rsidRPr="00EC2D04">
        <w:rPr>
          <w:sz w:val="28"/>
          <w:szCs w:val="28"/>
        </w:rPr>
        <w:tab/>
      </w:r>
    </w:p>
    <w:p w:rsidR="00EC2D04" w:rsidRPr="00EC2D04" w:rsidRDefault="00EC2D04" w:rsidP="00EC2D04">
      <w:pPr>
        <w:widowControl w:val="0"/>
        <w:rPr>
          <w:sz w:val="28"/>
          <w:szCs w:val="28"/>
        </w:rPr>
      </w:pPr>
    </w:p>
    <w:p w:rsidR="00EC2D04" w:rsidRPr="00EC2D04" w:rsidRDefault="00EC2D04" w:rsidP="00EC2D04">
      <w:pPr>
        <w:rPr>
          <w:sz w:val="28"/>
          <w:szCs w:val="28"/>
        </w:rPr>
      </w:pPr>
      <w:r w:rsidRPr="00EC2D04">
        <w:rPr>
          <w:sz w:val="28"/>
          <w:szCs w:val="28"/>
        </w:rPr>
        <w:t>Cost drivers are selected based on three criteria:</w:t>
      </w:r>
    </w:p>
    <w:p w:rsidR="00EC2D04" w:rsidRPr="00EC2D04" w:rsidRDefault="00EC2D04" w:rsidP="00863B4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C2D04">
        <w:rPr>
          <w:b/>
          <w:sz w:val="28"/>
          <w:szCs w:val="28"/>
        </w:rPr>
        <w:t>Causal relation</w:t>
      </w:r>
      <w:r w:rsidRPr="00EC2D04">
        <w:rPr>
          <w:sz w:val="28"/>
          <w:szCs w:val="28"/>
        </w:rPr>
        <w:t>. Ideally, choose a cost driver that causes the cost.</w:t>
      </w:r>
      <w:r w:rsidR="000548C3">
        <w:rPr>
          <w:sz w:val="28"/>
          <w:szCs w:val="28"/>
        </w:rPr>
        <w:t xml:space="preserve"> </w:t>
      </w:r>
      <w:r w:rsidR="000548C3" w:rsidRPr="000548C3">
        <w:rPr>
          <w:b/>
          <w:sz w:val="28"/>
          <w:szCs w:val="28"/>
        </w:rPr>
        <w:t xml:space="preserve"> BEST</w:t>
      </w:r>
    </w:p>
    <w:p w:rsidR="00EC2D04" w:rsidRPr="00EC2D04" w:rsidRDefault="00EC2D04" w:rsidP="00863B4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C2D04">
        <w:rPr>
          <w:b/>
          <w:sz w:val="28"/>
          <w:szCs w:val="28"/>
        </w:rPr>
        <w:t>Benefits received</w:t>
      </w:r>
      <w:r w:rsidRPr="00EC2D04">
        <w:rPr>
          <w:sz w:val="28"/>
          <w:szCs w:val="28"/>
        </w:rPr>
        <w:t>. Choose a cost driver to assign costs in proportion to benefits received.</w:t>
      </w:r>
    </w:p>
    <w:p w:rsidR="00C060C8" w:rsidRDefault="00EC2D04" w:rsidP="00863B4F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EC2D04">
        <w:rPr>
          <w:b/>
          <w:sz w:val="28"/>
          <w:szCs w:val="28"/>
        </w:rPr>
        <w:t>Reasonableness or fairness</w:t>
      </w:r>
      <w:r w:rsidRPr="00EC2D04">
        <w:rPr>
          <w:sz w:val="28"/>
          <w:szCs w:val="28"/>
        </w:rPr>
        <w:t>. When the first two criteria fail, assign costs on the basis of fairness or reasonableness.</w:t>
      </w:r>
    </w:p>
    <w:p w:rsidR="00C060C8" w:rsidRDefault="00C060C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C2D04" w:rsidRDefault="00C060C8" w:rsidP="00C060C8">
      <w:pPr>
        <w:rPr>
          <w:sz w:val="28"/>
          <w:szCs w:val="28"/>
        </w:rPr>
      </w:pPr>
      <w:r w:rsidRPr="0033705E">
        <w:rPr>
          <w:b/>
          <w:sz w:val="28"/>
          <w:szCs w:val="28"/>
        </w:rPr>
        <w:lastRenderedPageBreak/>
        <w:t>Example</w:t>
      </w:r>
      <w:r>
        <w:rPr>
          <w:sz w:val="28"/>
          <w:szCs w:val="28"/>
        </w:rPr>
        <w:t xml:space="preserve"> (P</w:t>
      </w:r>
      <w:r w:rsidR="0033705E">
        <w:rPr>
          <w:sz w:val="28"/>
          <w:szCs w:val="28"/>
        </w:rPr>
        <w:t>roblem</w:t>
      </w:r>
      <w:r>
        <w:rPr>
          <w:sz w:val="28"/>
          <w:szCs w:val="28"/>
        </w:rPr>
        <w:t xml:space="preserve"> 5-48 from Textbook</w:t>
      </w:r>
      <w:r w:rsidR="00B04F83">
        <w:rPr>
          <w:sz w:val="28"/>
          <w:szCs w:val="28"/>
        </w:rPr>
        <w:t>, partial</w:t>
      </w:r>
      <w:r w:rsidR="00DB2870">
        <w:rPr>
          <w:sz w:val="28"/>
          <w:szCs w:val="28"/>
        </w:rPr>
        <w:t xml:space="preserve"> and modified</w:t>
      </w:r>
      <w:r w:rsidR="0033705E">
        <w:rPr>
          <w:sz w:val="28"/>
          <w:szCs w:val="28"/>
        </w:rPr>
        <w:t>)</w:t>
      </w:r>
    </w:p>
    <w:p w:rsidR="00C060C8" w:rsidRDefault="00C060C8" w:rsidP="00C060C8">
      <w:pPr>
        <w:rPr>
          <w:sz w:val="28"/>
          <w:szCs w:val="28"/>
        </w:rPr>
      </w:pPr>
    </w:p>
    <w:p w:rsidR="0033705E" w:rsidRDefault="00B04F83" w:rsidP="00C060C8">
      <w:pPr>
        <w:rPr>
          <w:sz w:val="28"/>
          <w:szCs w:val="28"/>
        </w:rPr>
      </w:pPr>
      <w:r>
        <w:rPr>
          <w:sz w:val="28"/>
          <w:szCs w:val="28"/>
        </w:rPr>
        <w:t>Wilmington Office Equipment Corporation manufactures two types of filing cabinets, Deluxe and Executive, and applies manufacturing overhead to all units at the rate of $80 per machine hour.  Production information follows:</w:t>
      </w:r>
    </w:p>
    <w:p w:rsidR="00B04F83" w:rsidRDefault="00B04F83" w:rsidP="00C060C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1980"/>
        <w:gridCol w:w="1710"/>
      </w:tblGrid>
      <w:tr w:rsidR="00DB2870" w:rsidTr="00DB2870">
        <w:tc>
          <w:tcPr>
            <w:tcW w:w="4428" w:type="dxa"/>
          </w:tcPr>
          <w:p w:rsidR="00DB2870" w:rsidRDefault="00DB2870" w:rsidP="00C060C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DB2870" w:rsidRPr="00DB2870" w:rsidRDefault="00DB2870" w:rsidP="00DB2870">
            <w:pPr>
              <w:jc w:val="right"/>
              <w:rPr>
                <w:b/>
                <w:sz w:val="28"/>
                <w:szCs w:val="28"/>
              </w:rPr>
            </w:pPr>
            <w:r w:rsidRPr="00DB2870">
              <w:rPr>
                <w:b/>
                <w:sz w:val="28"/>
                <w:szCs w:val="28"/>
              </w:rPr>
              <w:t>Deluxe</w:t>
            </w:r>
          </w:p>
        </w:tc>
        <w:tc>
          <w:tcPr>
            <w:tcW w:w="1710" w:type="dxa"/>
          </w:tcPr>
          <w:p w:rsidR="00DB2870" w:rsidRPr="00DB2870" w:rsidRDefault="00DB2870" w:rsidP="00DB2870">
            <w:pPr>
              <w:jc w:val="right"/>
              <w:rPr>
                <w:b/>
                <w:sz w:val="28"/>
                <w:szCs w:val="28"/>
              </w:rPr>
            </w:pPr>
            <w:r w:rsidRPr="00DB2870">
              <w:rPr>
                <w:b/>
                <w:sz w:val="28"/>
                <w:szCs w:val="28"/>
              </w:rPr>
              <w:t>Executive</w:t>
            </w:r>
          </w:p>
        </w:tc>
      </w:tr>
      <w:tr w:rsidR="00DB2870" w:rsidTr="00DB2870">
        <w:tc>
          <w:tcPr>
            <w:tcW w:w="4428" w:type="dxa"/>
          </w:tcPr>
          <w:p w:rsidR="00DB2870" w:rsidRDefault="00DB2870" w:rsidP="00C0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 material cost</w:t>
            </w:r>
          </w:p>
        </w:tc>
        <w:tc>
          <w:tcPr>
            <w:tcW w:w="1980" w:type="dxa"/>
          </w:tcPr>
          <w:p w:rsidR="00DB2870" w:rsidRDefault="00DB2870" w:rsidP="00DB28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$40</w:t>
            </w:r>
          </w:p>
        </w:tc>
        <w:tc>
          <w:tcPr>
            <w:tcW w:w="1710" w:type="dxa"/>
          </w:tcPr>
          <w:p w:rsidR="00DB2870" w:rsidRDefault="00DB2870" w:rsidP="00DB28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$65</w:t>
            </w:r>
          </w:p>
        </w:tc>
      </w:tr>
      <w:tr w:rsidR="00DB2870" w:rsidTr="00DB2870">
        <w:tc>
          <w:tcPr>
            <w:tcW w:w="4428" w:type="dxa"/>
          </w:tcPr>
          <w:p w:rsidR="00DB2870" w:rsidRDefault="00DB2870" w:rsidP="00C0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 labor cost</w:t>
            </w:r>
          </w:p>
        </w:tc>
        <w:tc>
          <w:tcPr>
            <w:tcW w:w="1980" w:type="dxa"/>
          </w:tcPr>
          <w:p w:rsidR="00DB2870" w:rsidRDefault="00DB2870" w:rsidP="00DB28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$25</w:t>
            </w:r>
          </w:p>
        </w:tc>
        <w:tc>
          <w:tcPr>
            <w:tcW w:w="1710" w:type="dxa"/>
          </w:tcPr>
          <w:p w:rsidR="00DB2870" w:rsidRDefault="00DB2870" w:rsidP="00DB28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$25</w:t>
            </w:r>
          </w:p>
        </w:tc>
      </w:tr>
      <w:tr w:rsidR="00DB2870" w:rsidTr="00DB2870">
        <w:tc>
          <w:tcPr>
            <w:tcW w:w="4428" w:type="dxa"/>
          </w:tcPr>
          <w:p w:rsidR="00DB2870" w:rsidRDefault="00DB2870" w:rsidP="00C0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Budgeted volume (in units)</w:t>
            </w:r>
          </w:p>
        </w:tc>
        <w:tc>
          <w:tcPr>
            <w:tcW w:w="1980" w:type="dxa"/>
          </w:tcPr>
          <w:p w:rsidR="00DB2870" w:rsidRDefault="00DB2870" w:rsidP="00DB28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16,000</w:t>
            </w:r>
          </w:p>
        </w:tc>
        <w:tc>
          <w:tcPr>
            <w:tcW w:w="1710" w:type="dxa"/>
          </w:tcPr>
          <w:p w:rsidR="00DB2870" w:rsidRDefault="00DB2870" w:rsidP="00DB287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30,000</w:t>
            </w:r>
          </w:p>
        </w:tc>
      </w:tr>
    </w:tbl>
    <w:p w:rsidR="00B04F83" w:rsidRDefault="00B04F83" w:rsidP="00C060C8">
      <w:pPr>
        <w:rPr>
          <w:sz w:val="28"/>
          <w:szCs w:val="28"/>
        </w:rPr>
      </w:pPr>
    </w:p>
    <w:p w:rsidR="00ED62E5" w:rsidRDefault="00DB2870" w:rsidP="00C060C8">
      <w:pPr>
        <w:rPr>
          <w:sz w:val="28"/>
          <w:szCs w:val="28"/>
        </w:rPr>
      </w:pPr>
      <w:r>
        <w:rPr>
          <w:sz w:val="28"/>
          <w:szCs w:val="28"/>
        </w:rPr>
        <w:t xml:space="preserve">The controller has determined that the firm’s overhead can be identified with three activities.  The data for the three activities are as follows.  </w:t>
      </w:r>
    </w:p>
    <w:p w:rsidR="00DB2870" w:rsidRDefault="00DB2870" w:rsidP="00C060C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6"/>
        <w:gridCol w:w="1776"/>
        <w:gridCol w:w="1466"/>
        <w:gridCol w:w="1530"/>
        <w:gridCol w:w="1278"/>
      </w:tblGrid>
      <w:tr w:rsidR="00DB2870" w:rsidRPr="00DB2870" w:rsidTr="00DB2870">
        <w:tc>
          <w:tcPr>
            <w:tcW w:w="3526" w:type="dxa"/>
          </w:tcPr>
          <w:p w:rsidR="00DB2870" w:rsidRPr="00DB2870" w:rsidRDefault="00DB2870" w:rsidP="00C060C8"/>
        </w:tc>
        <w:tc>
          <w:tcPr>
            <w:tcW w:w="1776" w:type="dxa"/>
          </w:tcPr>
          <w:p w:rsidR="00DB2870" w:rsidRPr="00DB2870" w:rsidRDefault="00DB2870" w:rsidP="00DB2870">
            <w:pPr>
              <w:jc w:val="center"/>
              <w:rPr>
                <w:b/>
              </w:rPr>
            </w:pPr>
            <w:r>
              <w:rPr>
                <w:b/>
              </w:rPr>
              <w:t>Manufacturing Overhead</w:t>
            </w:r>
          </w:p>
        </w:tc>
        <w:tc>
          <w:tcPr>
            <w:tcW w:w="1466" w:type="dxa"/>
          </w:tcPr>
          <w:p w:rsidR="00DB2870" w:rsidRPr="00DB2870" w:rsidRDefault="00DB2870" w:rsidP="00DB2870">
            <w:pPr>
              <w:jc w:val="center"/>
              <w:rPr>
                <w:b/>
              </w:rPr>
            </w:pPr>
            <w:r w:rsidRPr="00DB2870">
              <w:rPr>
                <w:b/>
              </w:rPr>
              <w:t>Deluxe</w:t>
            </w:r>
          </w:p>
        </w:tc>
        <w:tc>
          <w:tcPr>
            <w:tcW w:w="1530" w:type="dxa"/>
            <w:tcBorders>
              <w:right w:val="single" w:sz="18" w:space="0" w:color="000000" w:themeColor="text1"/>
            </w:tcBorders>
          </w:tcPr>
          <w:p w:rsidR="00DB2870" w:rsidRPr="00DB2870" w:rsidRDefault="00DB2870" w:rsidP="00DB2870">
            <w:pPr>
              <w:jc w:val="center"/>
              <w:rPr>
                <w:b/>
              </w:rPr>
            </w:pPr>
            <w:r w:rsidRPr="00DB2870">
              <w:rPr>
                <w:b/>
              </w:rPr>
              <w:t>Executive</w:t>
            </w:r>
          </w:p>
        </w:tc>
        <w:tc>
          <w:tcPr>
            <w:tcW w:w="1278" w:type="dxa"/>
            <w:tcBorders>
              <w:left w:val="single" w:sz="18" w:space="0" w:color="000000" w:themeColor="text1"/>
            </w:tcBorders>
          </w:tcPr>
          <w:p w:rsidR="00DB2870" w:rsidRPr="00DB2870" w:rsidRDefault="00DB2870" w:rsidP="00DB2870">
            <w:pPr>
              <w:jc w:val="center"/>
              <w:rPr>
                <w:b/>
              </w:rPr>
            </w:pPr>
            <w:r w:rsidRPr="00DB2870">
              <w:rPr>
                <w:b/>
              </w:rPr>
              <w:t>Total</w:t>
            </w:r>
          </w:p>
        </w:tc>
      </w:tr>
      <w:tr w:rsidR="00DB2870" w:rsidRPr="00DB2870" w:rsidTr="00DB2870">
        <w:tc>
          <w:tcPr>
            <w:tcW w:w="3526" w:type="dxa"/>
          </w:tcPr>
          <w:p w:rsidR="00DB2870" w:rsidRPr="00DB2870" w:rsidRDefault="00DB2870" w:rsidP="00C060C8">
            <w:r w:rsidRPr="00DB2870">
              <w:t>Number of setups</w:t>
            </w:r>
          </w:p>
        </w:tc>
        <w:tc>
          <w:tcPr>
            <w:tcW w:w="1776" w:type="dxa"/>
          </w:tcPr>
          <w:p w:rsidR="00DB2870" w:rsidRPr="00DB2870" w:rsidRDefault="00DB2870" w:rsidP="00DB2870">
            <w:pPr>
              <w:jc w:val="center"/>
            </w:pPr>
            <w:r>
              <w:t>$1,344,000</w:t>
            </w:r>
          </w:p>
        </w:tc>
        <w:tc>
          <w:tcPr>
            <w:tcW w:w="1466" w:type="dxa"/>
          </w:tcPr>
          <w:p w:rsidR="00DB2870" w:rsidRPr="00DB2870" w:rsidRDefault="00DB2870" w:rsidP="00DB2870">
            <w:pPr>
              <w:jc w:val="center"/>
            </w:pPr>
            <w:r w:rsidRPr="00DB2870">
              <w:t>100</w:t>
            </w:r>
          </w:p>
        </w:tc>
        <w:tc>
          <w:tcPr>
            <w:tcW w:w="1530" w:type="dxa"/>
            <w:tcBorders>
              <w:right w:val="single" w:sz="18" w:space="0" w:color="000000" w:themeColor="text1"/>
            </w:tcBorders>
          </w:tcPr>
          <w:p w:rsidR="00DB2870" w:rsidRPr="00DB2870" w:rsidRDefault="00DB2870" w:rsidP="00DB2870">
            <w:pPr>
              <w:jc w:val="center"/>
            </w:pPr>
            <w:r w:rsidRPr="00DB2870">
              <w:t>60</w:t>
            </w:r>
          </w:p>
        </w:tc>
        <w:tc>
          <w:tcPr>
            <w:tcW w:w="1278" w:type="dxa"/>
            <w:tcBorders>
              <w:left w:val="single" w:sz="18" w:space="0" w:color="000000" w:themeColor="text1"/>
            </w:tcBorders>
          </w:tcPr>
          <w:p w:rsidR="00DB2870" w:rsidRPr="00DB2870" w:rsidRDefault="00DB2870" w:rsidP="00DB2870">
            <w:pPr>
              <w:jc w:val="center"/>
            </w:pPr>
            <w:r w:rsidRPr="00DB2870">
              <w:t>160</w:t>
            </w:r>
          </w:p>
        </w:tc>
      </w:tr>
      <w:tr w:rsidR="00DB2870" w:rsidRPr="00DB2870" w:rsidTr="00DB2870">
        <w:tc>
          <w:tcPr>
            <w:tcW w:w="3526" w:type="dxa"/>
          </w:tcPr>
          <w:p w:rsidR="00DB2870" w:rsidRPr="00DB2870" w:rsidRDefault="00DB2870" w:rsidP="00C060C8">
            <w:r w:rsidRPr="00DB2870">
              <w:t>Number of machine hours</w:t>
            </w:r>
          </w:p>
        </w:tc>
        <w:tc>
          <w:tcPr>
            <w:tcW w:w="1776" w:type="dxa"/>
          </w:tcPr>
          <w:p w:rsidR="00DB2870" w:rsidRPr="00DB2870" w:rsidRDefault="00DB2870" w:rsidP="00DB2870">
            <w:pPr>
              <w:jc w:val="center"/>
            </w:pPr>
            <w:r>
              <w:t>$3,696,000</w:t>
            </w:r>
          </w:p>
        </w:tc>
        <w:tc>
          <w:tcPr>
            <w:tcW w:w="1466" w:type="dxa"/>
          </w:tcPr>
          <w:p w:rsidR="00DB2870" w:rsidRPr="00DB2870" w:rsidRDefault="00DB2870" w:rsidP="00DB2870">
            <w:pPr>
              <w:jc w:val="center"/>
            </w:pPr>
            <w:r w:rsidRPr="00DB2870">
              <w:t>23,000</w:t>
            </w:r>
          </w:p>
        </w:tc>
        <w:tc>
          <w:tcPr>
            <w:tcW w:w="1530" w:type="dxa"/>
            <w:tcBorders>
              <w:right w:val="single" w:sz="18" w:space="0" w:color="000000" w:themeColor="text1"/>
            </w:tcBorders>
          </w:tcPr>
          <w:p w:rsidR="00DB2870" w:rsidRPr="00DB2870" w:rsidRDefault="00DB2870" w:rsidP="00DB2870">
            <w:pPr>
              <w:jc w:val="center"/>
            </w:pPr>
            <w:r w:rsidRPr="00DB2870">
              <w:t>45,000</w:t>
            </w:r>
          </w:p>
        </w:tc>
        <w:tc>
          <w:tcPr>
            <w:tcW w:w="1278" w:type="dxa"/>
            <w:tcBorders>
              <w:left w:val="single" w:sz="18" w:space="0" w:color="000000" w:themeColor="text1"/>
            </w:tcBorders>
          </w:tcPr>
          <w:p w:rsidR="00DB2870" w:rsidRPr="00DB2870" w:rsidRDefault="00DB2870" w:rsidP="00DB2870">
            <w:pPr>
              <w:jc w:val="center"/>
            </w:pPr>
            <w:r w:rsidRPr="00DB2870">
              <w:t>77,000</w:t>
            </w:r>
          </w:p>
        </w:tc>
      </w:tr>
      <w:tr w:rsidR="00DB2870" w:rsidRPr="00DB2870" w:rsidTr="00DB2870">
        <w:tc>
          <w:tcPr>
            <w:tcW w:w="3526" w:type="dxa"/>
          </w:tcPr>
          <w:p w:rsidR="00DB2870" w:rsidRPr="00DB2870" w:rsidRDefault="00DB2870" w:rsidP="00C060C8">
            <w:r w:rsidRPr="00DB2870">
              <w:t>Number of outgoing shipments</w:t>
            </w:r>
          </w:p>
        </w:tc>
        <w:tc>
          <w:tcPr>
            <w:tcW w:w="1776" w:type="dxa"/>
          </w:tcPr>
          <w:p w:rsidR="00DB2870" w:rsidRPr="00DB2870" w:rsidRDefault="00DB2870" w:rsidP="00DB2870">
            <w:pPr>
              <w:jc w:val="center"/>
            </w:pPr>
            <w:r>
              <w:t>$1,120,000</w:t>
            </w:r>
          </w:p>
        </w:tc>
        <w:tc>
          <w:tcPr>
            <w:tcW w:w="1466" w:type="dxa"/>
          </w:tcPr>
          <w:p w:rsidR="00DB2870" w:rsidRPr="00DB2870" w:rsidRDefault="00DB2870" w:rsidP="00DB2870">
            <w:pPr>
              <w:jc w:val="center"/>
            </w:pPr>
            <w:r w:rsidRPr="00DB2870">
              <w:t>200</w:t>
            </w:r>
          </w:p>
        </w:tc>
        <w:tc>
          <w:tcPr>
            <w:tcW w:w="1530" w:type="dxa"/>
            <w:tcBorders>
              <w:right w:val="single" w:sz="18" w:space="0" w:color="000000" w:themeColor="text1"/>
            </w:tcBorders>
          </w:tcPr>
          <w:p w:rsidR="00DB2870" w:rsidRPr="00DB2870" w:rsidRDefault="00DB2870" w:rsidP="00DB2870">
            <w:pPr>
              <w:jc w:val="center"/>
            </w:pPr>
            <w:r w:rsidRPr="00DB2870">
              <w:t>150</w:t>
            </w:r>
          </w:p>
        </w:tc>
        <w:tc>
          <w:tcPr>
            <w:tcW w:w="1278" w:type="dxa"/>
            <w:tcBorders>
              <w:left w:val="single" w:sz="18" w:space="0" w:color="000000" w:themeColor="text1"/>
            </w:tcBorders>
          </w:tcPr>
          <w:p w:rsidR="00DB2870" w:rsidRPr="00DB2870" w:rsidRDefault="00DB2870" w:rsidP="00DB2870">
            <w:pPr>
              <w:jc w:val="center"/>
            </w:pPr>
            <w:r w:rsidRPr="00DB2870">
              <w:t>350</w:t>
            </w:r>
          </w:p>
        </w:tc>
      </w:tr>
      <w:tr w:rsidR="00DB2870" w:rsidRPr="00DB2870" w:rsidTr="00DB2870">
        <w:tc>
          <w:tcPr>
            <w:tcW w:w="3526" w:type="dxa"/>
          </w:tcPr>
          <w:p w:rsidR="00DB2870" w:rsidRPr="00DB2870" w:rsidRDefault="00DB2870" w:rsidP="00C060C8">
            <w:r>
              <w:t>Total</w:t>
            </w:r>
          </w:p>
        </w:tc>
        <w:tc>
          <w:tcPr>
            <w:tcW w:w="1776" w:type="dxa"/>
          </w:tcPr>
          <w:p w:rsidR="00DB2870" w:rsidRPr="00DB2870" w:rsidRDefault="00DB2870" w:rsidP="00DB2870">
            <w:pPr>
              <w:jc w:val="center"/>
            </w:pPr>
            <w:r>
              <w:t>$6,160,000</w:t>
            </w:r>
          </w:p>
        </w:tc>
        <w:tc>
          <w:tcPr>
            <w:tcW w:w="1466" w:type="dxa"/>
          </w:tcPr>
          <w:p w:rsidR="00DB2870" w:rsidRPr="00DB2870" w:rsidRDefault="00DB2870" w:rsidP="00DB2870">
            <w:pPr>
              <w:jc w:val="center"/>
            </w:pPr>
          </w:p>
        </w:tc>
        <w:tc>
          <w:tcPr>
            <w:tcW w:w="1530" w:type="dxa"/>
            <w:tcBorders>
              <w:right w:val="single" w:sz="18" w:space="0" w:color="000000" w:themeColor="text1"/>
            </w:tcBorders>
          </w:tcPr>
          <w:p w:rsidR="00DB2870" w:rsidRPr="00DB2870" w:rsidRDefault="00DB2870" w:rsidP="00DB2870">
            <w:pPr>
              <w:jc w:val="center"/>
            </w:pPr>
          </w:p>
        </w:tc>
        <w:tc>
          <w:tcPr>
            <w:tcW w:w="1278" w:type="dxa"/>
            <w:tcBorders>
              <w:left w:val="single" w:sz="18" w:space="0" w:color="000000" w:themeColor="text1"/>
            </w:tcBorders>
          </w:tcPr>
          <w:p w:rsidR="00DB2870" w:rsidRPr="00DB2870" w:rsidRDefault="00DB2870" w:rsidP="00DB2870">
            <w:pPr>
              <w:jc w:val="center"/>
            </w:pPr>
          </w:p>
        </w:tc>
      </w:tr>
    </w:tbl>
    <w:p w:rsidR="00DB2870" w:rsidRPr="00DB2870" w:rsidRDefault="00DB2870" w:rsidP="00C060C8"/>
    <w:p w:rsidR="00DB2870" w:rsidRDefault="001E2DB3" w:rsidP="001E2DB3">
      <w:pPr>
        <w:pStyle w:val="ListParagraph"/>
        <w:numPr>
          <w:ilvl w:val="0"/>
          <w:numId w:val="16"/>
        </w:numPr>
      </w:pPr>
      <w:r>
        <w:t xml:space="preserve">Compute the overhead allocation to </w:t>
      </w:r>
      <w:r w:rsidR="00D62021">
        <w:t>deluxe and executive using the traditional machine hour overhead allocation process.</w:t>
      </w:r>
    </w:p>
    <w:p w:rsidR="00D62021" w:rsidRDefault="00D62021" w:rsidP="001E2DB3">
      <w:pPr>
        <w:pStyle w:val="ListParagraph"/>
        <w:numPr>
          <w:ilvl w:val="0"/>
          <w:numId w:val="16"/>
        </w:numPr>
      </w:pPr>
      <w:r>
        <w:t>Compute the overhead allocation to deluxe and executive using ABC.</w:t>
      </w:r>
    </w:p>
    <w:p w:rsidR="00D62021" w:rsidRDefault="00D62021" w:rsidP="00D62021">
      <w:pPr>
        <w:sectPr w:rsidR="00D62021" w:rsidSect="00251666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D62E5" w:rsidRDefault="00ED62E5">
      <w:pPr>
        <w:rPr>
          <w:sz w:val="28"/>
          <w:szCs w:val="28"/>
        </w:rPr>
      </w:pPr>
    </w:p>
    <w:p w:rsidR="00D62021" w:rsidRDefault="00D62021">
      <w:pPr>
        <w:rPr>
          <w:sz w:val="28"/>
          <w:szCs w:val="28"/>
        </w:rPr>
      </w:pPr>
      <w:r>
        <w:rPr>
          <w:sz w:val="28"/>
          <w:szCs w:val="28"/>
        </w:rPr>
        <w:t>Answer.</w:t>
      </w:r>
    </w:p>
    <w:p w:rsidR="00D62021" w:rsidRDefault="00D62021">
      <w:pPr>
        <w:rPr>
          <w:sz w:val="28"/>
          <w:szCs w:val="28"/>
        </w:rPr>
      </w:pPr>
    </w:p>
    <w:p w:rsidR="00D62021" w:rsidRPr="00DB2870" w:rsidRDefault="00D62021" w:rsidP="00D62021"/>
    <w:p w:rsidR="00D62021" w:rsidRDefault="00D62021" w:rsidP="00D62021">
      <w:pPr>
        <w:pStyle w:val="ListParagraph"/>
        <w:numPr>
          <w:ilvl w:val="0"/>
          <w:numId w:val="17"/>
        </w:numPr>
      </w:pPr>
      <w:r>
        <w:t xml:space="preserve">Compute the overhead allocation to deluxe and executive using the traditional machine hour </w:t>
      </w:r>
      <w:bookmarkStart w:id="0" w:name="_GoBack"/>
      <w:bookmarkEnd w:id="0"/>
      <w:r>
        <w:t>overhead allocation process.</w:t>
      </w:r>
    </w:p>
    <w:p w:rsidR="00D62021" w:rsidRDefault="00D62021" w:rsidP="00D62021"/>
    <w:p w:rsidR="00D62021" w:rsidRDefault="00D62021" w:rsidP="00D62021">
      <w:r>
        <w:t>$6,160,000 / 77,000 machine hours = $80 per hour</w:t>
      </w:r>
    </w:p>
    <w:p w:rsidR="00D62021" w:rsidRDefault="00D62021" w:rsidP="00340A03">
      <w:pPr>
        <w:ind w:left="720"/>
      </w:pPr>
      <w:r w:rsidRPr="00340A03">
        <w:rPr>
          <w:b/>
        </w:rPr>
        <w:t>Deluxe:</w:t>
      </w:r>
      <w:r>
        <w:t xml:space="preserve">  32,000 hours x $80 = $2,560,000</w:t>
      </w:r>
    </w:p>
    <w:p w:rsidR="00D62021" w:rsidRDefault="00D62021" w:rsidP="00340A03">
      <w:pPr>
        <w:ind w:left="720"/>
      </w:pPr>
      <w:r w:rsidRPr="00340A03">
        <w:rPr>
          <w:b/>
        </w:rPr>
        <w:t>Executive</w:t>
      </w:r>
      <w:r>
        <w:t>:  45,000 hours x $80 = $3,600,000</w:t>
      </w:r>
    </w:p>
    <w:p w:rsidR="00D62021" w:rsidRDefault="00D62021" w:rsidP="00D62021">
      <w:r>
        <w:t>Check:  $2,560,000 + $3,600,000 = $6,160,000</w:t>
      </w:r>
    </w:p>
    <w:p w:rsidR="00D62021" w:rsidRDefault="00D62021" w:rsidP="00D62021"/>
    <w:p w:rsidR="00D62021" w:rsidRPr="00DB2870" w:rsidRDefault="00D62021" w:rsidP="00D62021">
      <w:pPr>
        <w:pStyle w:val="ListParagraph"/>
        <w:numPr>
          <w:ilvl w:val="0"/>
          <w:numId w:val="17"/>
        </w:numPr>
      </w:pPr>
      <w:r>
        <w:t xml:space="preserve">Compute the overhead allocation to deluxe and executive using </w:t>
      </w:r>
      <w:r w:rsidR="008F6AAF">
        <w:t>Activity-Based-Costing (</w:t>
      </w:r>
      <w:r>
        <w:t>ABC</w:t>
      </w:r>
      <w:r w:rsidR="008F6AAF">
        <w:t>)</w:t>
      </w:r>
      <w:r>
        <w:t>.</w:t>
      </w:r>
    </w:p>
    <w:p w:rsidR="00D62021" w:rsidRDefault="00D62021">
      <w:pPr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08"/>
        <w:gridCol w:w="1890"/>
        <w:gridCol w:w="1440"/>
        <w:gridCol w:w="1530"/>
        <w:gridCol w:w="1440"/>
      </w:tblGrid>
      <w:tr w:rsidR="008F724F" w:rsidRPr="00DB2870" w:rsidTr="008F724F">
        <w:tc>
          <w:tcPr>
            <w:tcW w:w="6408" w:type="dxa"/>
          </w:tcPr>
          <w:p w:rsidR="00D62021" w:rsidRPr="00DB2870" w:rsidRDefault="00D62021" w:rsidP="00235933"/>
        </w:tc>
        <w:tc>
          <w:tcPr>
            <w:tcW w:w="1890" w:type="dxa"/>
          </w:tcPr>
          <w:p w:rsidR="00D62021" w:rsidRPr="00DB2870" w:rsidRDefault="00D62021" w:rsidP="00235933">
            <w:pPr>
              <w:jc w:val="center"/>
              <w:rPr>
                <w:b/>
              </w:rPr>
            </w:pPr>
            <w:r>
              <w:rPr>
                <w:b/>
              </w:rPr>
              <w:t>Manufacturing Overhead</w:t>
            </w:r>
          </w:p>
        </w:tc>
        <w:tc>
          <w:tcPr>
            <w:tcW w:w="1440" w:type="dxa"/>
          </w:tcPr>
          <w:p w:rsidR="00D62021" w:rsidRPr="00DB2870" w:rsidRDefault="00D62021" w:rsidP="00235933">
            <w:pPr>
              <w:jc w:val="center"/>
              <w:rPr>
                <w:b/>
              </w:rPr>
            </w:pPr>
            <w:r w:rsidRPr="00DB2870">
              <w:rPr>
                <w:b/>
              </w:rPr>
              <w:t>Deluxe</w:t>
            </w:r>
          </w:p>
        </w:tc>
        <w:tc>
          <w:tcPr>
            <w:tcW w:w="1530" w:type="dxa"/>
            <w:tcBorders>
              <w:right w:val="single" w:sz="18" w:space="0" w:color="000000" w:themeColor="text1"/>
            </w:tcBorders>
          </w:tcPr>
          <w:p w:rsidR="00D62021" w:rsidRPr="00DB2870" w:rsidRDefault="00D62021" w:rsidP="00235933">
            <w:pPr>
              <w:jc w:val="center"/>
              <w:rPr>
                <w:b/>
              </w:rPr>
            </w:pPr>
            <w:r w:rsidRPr="00DB2870">
              <w:rPr>
                <w:b/>
              </w:rPr>
              <w:t>Executive</w:t>
            </w:r>
          </w:p>
        </w:tc>
        <w:tc>
          <w:tcPr>
            <w:tcW w:w="1440" w:type="dxa"/>
            <w:tcBorders>
              <w:left w:val="single" w:sz="18" w:space="0" w:color="000000" w:themeColor="text1"/>
            </w:tcBorders>
          </w:tcPr>
          <w:p w:rsidR="00D62021" w:rsidRPr="00DB2870" w:rsidRDefault="00D62021" w:rsidP="00235933">
            <w:pPr>
              <w:jc w:val="center"/>
              <w:rPr>
                <w:b/>
              </w:rPr>
            </w:pPr>
            <w:r w:rsidRPr="00DB2870">
              <w:rPr>
                <w:b/>
              </w:rPr>
              <w:t>Total</w:t>
            </w:r>
          </w:p>
        </w:tc>
      </w:tr>
      <w:tr w:rsidR="008F724F" w:rsidRPr="00DB2870" w:rsidTr="008F724F">
        <w:tc>
          <w:tcPr>
            <w:tcW w:w="6408" w:type="dxa"/>
          </w:tcPr>
          <w:p w:rsidR="00D62021" w:rsidRPr="00DB2870" w:rsidRDefault="00D62021" w:rsidP="00235933">
            <w:r w:rsidRPr="00DB2870">
              <w:t>Number of setups</w:t>
            </w:r>
          </w:p>
        </w:tc>
        <w:tc>
          <w:tcPr>
            <w:tcW w:w="1890" w:type="dxa"/>
          </w:tcPr>
          <w:p w:rsidR="00D62021" w:rsidRPr="00DB2870" w:rsidRDefault="00D62021" w:rsidP="00235933">
            <w:pPr>
              <w:jc w:val="center"/>
            </w:pPr>
            <w:r>
              <w:t>$1,344,000</w:t>
            </w:r>
          </w:p>
        </w:tc>
        <w:tc>
          <w:tcPr>
            <w:tcW w:w="1440" w:type="dxa"/>
          </w:tcPr>
          <w:p w:rsidR="00D62021" w:rsidRPr="00DB2870" w:rsidRDefault="00D62021" w:rsidP="00235933">
            <w:pPr>
              <w:jc w:val="center"/>
            </w:pPr>
            <w:r w:rsidRPr="00DB2870">
              <w:t>100</w:t>
            </w:r>
          </w:p>
        </w:tc>
        <w:tc>
          <w:tcPr>
            <w:tcW w:w="1530" w:type="dxa"/>
            <w:tcBorders>
              <w:right w:val="single" w:sz="18" w:space="0" w:color="000000" w:themeColor="text1"/>
            </w:tcBorders>
          </w:tcPr>
          <w:p w:rsidR="00D62021" w:rsidRPr="00DB2870" w:rsidRDefault="00D62021" w:rsidP="00235933">
            <w:pPr>
              <w:jc w:val="center"/>
            </w:pPr>
            <w:r w:rsidRPr="00DB2870">
              <w:t>60</w:t>
            </w:r>
          </w:p>
        </w:tc>
        <w:tc>
          <w:tcPr>
            <w:tcW w:w="1440" w:type="dxa"/>
            <w:tcBorders>
              <w:left w:val="single" w:sz="18" w:space="0" w:color="000000" w:themeColor="text1"/>
            </w:tcBorders>
          </w:tcPr>
          <w:p w:rsidR="00D62021" w:rsidRPr="00DB2870" w:rsidRDefault="00D62021" w:rsidP="00235933">
            <w:pPr>
              <w:jc w:val="center"/>
            </w:pPr>
            <w:r w:rsidRPr="00DB2870">
              <w:t>160</w:t>
            </w:r>
          </w:p>
        </w:tc>
      </w:tr>
      <w:tr w:rsidR="008F724F" w:rsidRPr="00DB2870" w:rsidTr="008F724F">
        <w:tc>
          <w:tcPr>
            <w:tcW w:w="6408" w:type="dxa"/>
          </w:tcPr>
          <w:p w:rsidR="00D62021" w:rsidRPr="008F724F" w:rsidRDefault="006657A8" w:rsidP="00235933">
            <w:pPr>
              <w:rPr>
                <w:highlight w:val="yellow"/>
              </w:rPr>
            </w:pPr>
            <w:r w:rsidRPr="008F724F">
              <w:rPr>
                <w:highlight w:val="yellow"/>
              </w:rPr>
              <w:t xml:space="preserve">  </w:t>
            </w:r>
            <w:r w:rsidR="00D62021" w:rsidRPr="008F724F">
              <w:rPr>
                <w:highlight w:val="yellow"/>
              </w:rPr>
              <w:t>Cost per setup:  $1,344,000 / 160 = $8,400</w:t>
            </w:r>
          </w:p>
        </w:tc>
        <w:tc>
          <w:tcPr>
            <w:tcW w:w="1890" w:type="dxa"/>
          </w:tcPr>
          <w:p w:rsidR="00D62021" w:rsidRPr="008F724F" w:rsidRDefault="00D62021" w:rsidP="00235933">
            <w:pPr>
              <w:jc w:val="center"/>
              <w:rPr>
                <w:highlight w:val="yellow"/>
              </w:rPr>
            </w:pPr>
          </w:p>
        </w:tc>
        <w:tc>
          <w:tcPr>
            <w:tcW w:w="1440" w:type="dxa"/>
          </w:tcPr>
          <w:p w:rsidR="00D62021" w:rsidRPr="008F724F" w:rsidRDefault="008F724F" w:rsidP="00235933">
            <w:pPr>
              <w:jc w:val="center"/>
              <w:rPr>
                <w:highlight w:val="yellow"/>
              </w:rPr>
            </w:pPr>
            <w:r w:rsidRPr="008F724F">
              <w:rPr>
                <w:highlight w:val="yellow"/>
              </w:rPr>
              <w:t>$</w:t>
            </w:r>
            <w:r w:rsidR="00D62021" w:rsidRPr="008F724F">
              <w:rPr>
                <w:highlight w:val="yellow"/>
              </w:rPr>
              <w:t>840,000</w:t>
            </w:r>
          </w:p>
        </w:tc>
        <w:tc>
          <w:tcPr>
            <w:tcW w:w="1530" w:type="dxa"/>
            <w:tcBorders>
              <w:right w:val="single" w:sz="18" w:space="0" w:color="000000" w:themeColor="text1"/>
            </w:tcBorders>
          </w:tcPr>
          <w:p w:rsidR="00D62021" w:rsidRPr="008F724F" w:rsidRDefault="008F724F" w:rsidP="00235933">
            <w:pPr>
              <w:jc w:val="center"/>
              <w:rPr>
                <w:highlight w:val="yellow"/>
              </w:rPr>
            </w:pPr>
            <w:r w:rsidRPr="008F724F">
              <w:rPr>
                <w:highlight w:val="yellow"/>
              </w:rPr>
              <w:t>$</w:t>
            </w:r>
            <w:r w:rsidR="00D62021" w:rsidRPr="008F724F">
              <w:rPr>
                <w:highlight w:val="yellow"/>
              </w:rPr>
              <w:t>504,000</w:t>
            </w:r>
          </w:p>
        </w:tc>
        <w:tc>
          <w:tcPr>
            <w:tcW w:w="1440" w:type="dxa"/>
            <w:tcBorders>
              <w:left w:val="single" w:sz="18" w:space="0" w:color="000000" w:themeColor="text1"/>
            </w:tcBorders>
          </w:tcPr>
          <w:p w:rsidR="00D62021" w:rsidRPr="008F724F" w:rsidRDefault="008F724F" w:rsidP="00235933">
            <w:pPr>
              <w:jc w:val="center"/>
              <w:rPr>
                <w:highlight w:val="yellow"/>
              </w:rPr>
            </w:pPr>
            <w:r w:rsidRPr="008F724F">
              <w:rPr>
                <w:highlight w:val="yellow"/>
              </w:rPr>
              <w:t>$</w:t>
            </w:r>
            <w:r w:rsidR="00D62021" w:rsidRPr="008F724F">
              <w:rPr>
                <w:highlight w:val="yellow"/>
              </w:rPr>
              <w:t>1,344,000</w:t>
            </w:r>
          </w:p>
        </w:tc>
      </w:tr>
      <w:tr w:rsidR="008F724F" w:rsidRPr="00DB2870" w:rsidTr="008F724F">
        <w:tc>
          <w:tcPr>
            <w:tcW w:w="6408" w:type="dxa"/>
          </w:tcPr>
          <w:p w:rsidR="00D62021" w:rsidRPr="00DB2870" w:rsidRDefault="00D62021" w:rsidP="00235933">
            <w:r w:rsidRPr="00DB2870">
              <w:t>Number of machine hours</w:t>
            </w:r>
          </w:p>
        </w:tc>
        <w:tc>
          <w:tcPr>
            <w:tcW w:w="1890" w:type="dxa"/>
          </w:tcPr>
          <w:p w:rsidR="00D62021" w:rsidRPr="00DB2870" w:rsidRDefault="00D62021" w:rsidP="00235933">
            <w:pPr>
              <w:jc w:val="center"/>
            </w:pPr>
            <w:r>
              <w:t>$3,696,000</w:t>
            </w:r>
          </w:p>
        </w:tc>
        <w:tc>
          <w:tcPr>
            <w:tcW w:w="1440" w:type="dxa"/>
          </w:tcPr>
          <w:p w:rsidR="00D62021" w:rsidRPr="00DB2870" w:rsidRDefault="008F724F" w:rsidP="00235933">
            <w:pPr>
              <w:jc w:val="center"/>
            </w:pPr>
            <w:r>
              <w:t>32</w:t>
            </w:r>
            <w:r w:rsidR="00D62021" w:rsidRPr="00DB2870">
              <w:t>,000</w:t>
            </w:r>
          </w:p>
        </w:tc>
        <w:tc>
          <w:tcPr>
            <w:tcW w:w="1530" w:type="dxa"/>
            <w:tcBorders>
              <w:right w:val="single" w:sz="18" w:space="0" w:color="000000" w:themeColor="text1"/>
            </w:tcBorders>
          </w:tcPr>
          <w:p w:rsidR="00D62021" w:rsidRPr="00DB2870" w:rsidRDefault="00D62021" w:rsidP="00235933">
            <w:pPr>
              <w:jc w:val="center"/>
            </w:pPr>
            <w:r w:rsidRPr="00DB2870">
              <w:t>45,000</w:t>
            </w:r>
          </w:p>
        </w:tc>
        <w:tc>
          <w:tcPr>
            <w:tcW w:w="1440" w:type="dxa"/>
            <w:tcBorders>
              <w:left w:val="single" w:sz="18" w:space="0" w:color="000000" w:themeColor="text1"/>
            </w:tcBorders>
          </w:tcPr>
          <w:p w:rsidR="00D62021" w:rsidRPr="00DB2870" w:rsidRDefault="00D62021" w:rsidP="00235933">
            <w:pPr>
              <w:jc w:val="center"/>
            </w:pPr>
            <w:r w:rsidRPr="00DB2870">
              <w:t>77,000</w:t>
            </w:r>
          </w:p>
        </w:tc>
      </w:tr>
      <w:tr w:rsidR="006657A8" w:rsidRPr="00DB2870" w:rsidTr="008F724F">
        <w:tc>
          <w:tcPr>
            <w:tcW w:w="6408" w:type="dxa"/>
          </w:tcPr>
          <w:p w:rsidR="006657A8" w:rsidRPr="008F724F" w:rsidRDefault="006657A8" w:rsidP="00235933">
            <w:pPr>
              <w:rPr>
                <w:highlight w:val="yellow"/>
              </w:rPr>
            </w:pPr>
            <w:r w:rsidRPr="008F724F">
              <w:rPr>
                <w:highlight w:val="yellow"/>
              </w:rPr>
              <w:t xml:space="preserve">  Cost per machine hour:  $3,696,000 / 77,000 = </w:t>
            </w:r>
            <w:r w:rsidR="008F724F" w:rsidRPr="008F724F">
              <w:rPr>
                <w:highlight w:val="yellow"/>
              </w:rPr>
              <w:t>$48</w:t>
            </w:r>
          </w:p>
        </w:tc>
        <w:tc>
          <w:tcPr>
            <w:tcW w:w="1890" w:type="dxa"/>
          </w:tcPr>
          <w:p w:rsidR="006657A8" w:rsidRPr="008F724F" w:rsidRDefault="006657A8" w:rsidP="00235933">
            <w:pPr>
              <w:jc w:val="center"/>
              <w:rPr>
                <w:highlight w:val="yellow"/>
              </w:rPr>
            </w:pPr>
          </w:p>
        </w:tc>
        <w:tc>
          <w:tcPr>
            <w:tcW w:w="1440" w:type="dxa"/>
          </w:tcPr>
          <w:p w:rsidR="006657A8" w:rsidRPr="008F724F" w:rsidRDefault="008F724F" w:rsidP="00235933">
            <w:pPr>
              <w:jc w:val="center"/>
              <w:rPr>
                <w:highlight w:val="yellow"/>
              </w:rPr>
            </w:pPr>
            <w:r w:rsidRPr="008F724F">
              <w:rPr>
                <w:highlight w:val="yellow"/>
              </w:rPr>
              <w:t>$1,536,000</w:t>
            </w:r>
          </w:p>
        </w:tc>
        <w:tc>
          <w:tcPr>
            <w:tcW w:w="1530" w:type="dxa"/>
            <w:tcBorders>
              <w:right w:val="single" w:sz="18" w:space="0" w:color="000000" w:themeColor="text1"/>
            </w:tcBorders>
          </w:tcPr>
          <w:p w:rsidR="006657A8" w:rsidRPr="008F724F" w:rsidRDefault="008F724F" w:rsidP="00235933">
            <w:pPr>
              <w:jc w:val="center"/>
              <w:rPr>
                <w:highlight w:val="yellow"/>
              </w:rPr>
            </w:pPr>
            <w:r w:rsidRPr="008F724F">
              <w:rPr>
                <w:highlight w:val="yellow"/>
              </w:rPr>
              <w:t>$2,160,000</w:t>
            </w:r>
          </w:p>
        </w:tc>
        <w:tc>
          <w:tcPr>
            <w:tcW w:w="1440" w:type="dxa"/>
            <w:tcBorders>
              <w:left w:val="single" w:sz="18" w:space="0" w:color="000000" w:themeColor="text1"/>
            </w:tcBorders>
          </w:tcPr>
          <w:p w:rsidR="006657A8" w:rsidRPr="008F724F" w:rsidRDefault="008F724F" w:rsidP="00235933">
            <w:pPr>
              <w:jc w:val="center"/>
              <w:rPr>
                <w:highlight w:val="yellow"/>
              </w:rPr>
            </w:pPr>
            <w:r w:rsidRPr="008F724F">
              <w:rPr>
                <w:highlight w:val="yellow"/>
              </w:rPr>
              <w:t>$3,696,000</w:t>
            </w:r>
          </w:p>
        </w:tc>
      </w:tr>
      <w:tr w:rsidR="008F724F" w:rsidRPr="00DB2870" w:rsidTr="008F724F">
        <w:tc>
          <w:tcPr>
            <w:tcW w:w="6408" w:type="dxa"/>
          </w:tcPr>
          <w:p w:rsidR="00D62021" w:rsidRPr="00DB2870" w:rsidRDefault="00D62021" w:rsidP="00235933">
            <w:r w:rsidRPr="00DB2870">
              <w:t>Number of outgoing shipments</w:t>
            </w:r>
          </w:p>
        </w:tc>
        <w:tc>
          <w:tcPr>
            <w:tcW w:w="1890" w:type="dxa"/>
          </w:tcPr>
          <w:p w:rsidR="00D62021" w:rsidRPr="00DB2870" w:rsidRDefault="00D62021" w:rsidP="00235933">
            <w:pPr>
              <w:jc w:val="center"/>
            </w:pPr>
            <w:r>
              <w:t>$1,120,000</w:t>
            </w:r>
          </w:p>
        </w:tc>
        <w:tc>
          <w:tcPr>
            <w:tcW w:w="1440" w:type="dxa"/>
          </w:tcPr>
          <w:p w:rsidR="00D62021" w:rsidRPr="00DB2870" w:rsidRDefault="00D62021" w:rsidP="00235933">
            <w:pPr>
              <w:jc w:val="center"/>
            </w:pPr>
            <w:r w:rsidRPr="00DB2870">
              <w:t>200</w:t>
            </w:r>
          </w:p>
        </w:tc>
        <w:tc>
          <w:tcPr>
            <w:tcW w:w="1530" w:type="dxa"/>
            <w:tcBorders>
              <w:right w:val="single" w:sz="18" w:space="0" w:color="000000" w:themeColor="text1"/>
            </w:tcBorders>
          </w:tcPr>
          <w:p w:rsidR="00D62021" w:rsidRPr="00DB2870" w:rsidRDefault="00D62021" w:rsidP="00235933">
            <w:pPr>
              <w:jc w:val="center"/>
            </w:pPr>
            <w:r w:rsidRPr="00DB2870">
              <w:t>150</w:t>
            </w:r>
          </w:p>
        </w:tc>
        <w:tc>
          <w:tcPr>
            <w:tcW w:w="1440" w:type="dxa"/>
            <w:tcBorders>
              <w:left w:val="single" w:sz="18" w:space="0" w:color="000000" w:themeColor="text1"/>
            </w:tcBorders>
          </w:tcPr>
          <w:p w:rsidR="00D62021" w:rsidRPr="00DB2870" w:rsidRDefault="00D62021" w:rsidP="00235933">
            <w:pPr>
              <w:jc w:val="center"/>
            </w:pPr>
            <w:r w:rsidRPr="00DB2870">
              <w:t>350</w:t>
            </w:r>
          </w:p>
        </w:tc>
      </w:tr>
      <w:tr w:rsidR="008F724F" w:rsidRPr="00DB2870" w:rsidTr="008F724F">
        <w:tc>
          <w:tcPr>
            <w:tcW w:w="6408" w:type="dxa"/>
          </w:tcPr>
          <w:p w:rsidR="008F724F" w:rsidRPr="008F724F" w:rsidRDefault="008F724F" w:rsidP="00235933">
            <w:pPr>
              <w:rPr>
                <w:highlight w:val="yellow"/>
              </w:rPr>
            </w:pPr>
            <w:r w:rsidRPr="008F724F">
              <w:rPr>
                <w:highlight w:val="yellow"/>
              </w:rPr>
              <w:t xml:space="preserve">  Cost per number of shipments:  $1,120,000 / 350 = $3,200</w:t>
            </w:r>
          </w:p>
        </w:tc>
        <w:tc>
          <w:tcPr>
            <w:tcW w:w="1890" w:type="dxa"/>
          </w:tcPr>
          <w:p w:rsidR="008F724F" w:rsidRPr="008F724F" w:rsidRDefault="008F724F" w:rsidP="00235933">
            <w:pPr>
              <w:jc w:val="center"/>
              <w:rPr>
                <w:highlight w:val="yellow"/>
              </w:rPr>
            </w:pPr>
          </w:p>
        </w:tc>
        <w:tc>
          <w:tcPr>
            <w:tcW w:w="1440" w:type="dxa"/>
          </w:tcPr>
          <w:p w:rsidR="008F724F" w:rsidRPr="008F724F" w:rsidRDefault="008F724F" w:rsidP="00235933">
            <w:pPr>
              <w:jc w:val="center"/>
              <w:rPr>
                <w:highlight w:val="yellow"/>
              </w:rPr>
            </w:pPr>
            <w:r w:rsidRPr="008F724F">
              <w:rPr>
                <w:highlight w:val="yellow"/>
              </w:rPr>
              <w:t>$640,000</w:t>
            </w:r>
          </w:p>
        </w:tc>
        <w:tc>
          <w:tcPr>
            <w:tcW w:w="1530" w:type="dxa"/>
            <w:tcBorders>
              <w:right w:val="single" w:sz="18" w:space="0" w:color="000000" w:themeColor="text1"/>
            </w:tcBorders>
          </w:tcPr>
          <w:p w:rsidR="008F724F" w:rsidRPr="008F724F" w:rsidRDefault="008F724F" w:rsidP="00235933">
            <w:pPr>
              <w:jc w:val="center"/>
              <w:rPr>
                <w:highlight w:val="yellow"/>
              </w:rPr>
            </w:pPr>
            <w:r w:rsidRPr="008F724F">
              <w:rPr>
                <w:highlight w:val="yellow"/>
              </w:rPr>
              <w:t>$480,000</w:t>
            </w:r>
          </w:p>
        </w:tc>
        <w:tc>
          <w:tcPr>
            <w:tcW w:w="1440" w:type="dxa"/>
            <w:tcBorders>
              <w:left w:val="single" w:sz="18" w:space="0" w:color="000000" w:themeColor="text1"/>
            </w:tcBorders>
          </w:tcPr>
          <w:p w:rsidR="008F724F" w:rsidRPr="008F724F" w:rsidRDefault="008F724F" w:rsidP="00235933">
            <w:pPr>
              <w:jc w:val="center"/>
              <w:rPr>
                <w:highlight w:val="yellow"/>
              </w:rPr>
            </w:pPr>
            <w:r w:rsidRPr="008F724F">
              <w:rPr>
                <w:highlight w:val="yellow"/>
              </w:rPr>
              <w:t>$1,120,000</w:t>
            </w:r>
          </w:p>
        </w:tc>
      </w:tr>
      <w:tr w:rsidR="008F724F" w:rsidRPr="00DB2870" w:rsidTr="008F724F">
        <w:tc>
          <w:tcPr>
            <w:tcW w:w="6408" w:type="dxa"/>
          </w:tcPr>
          <w:p w:rsidR="00D62021" w:rsidRPr="008F724F" w:rsidRDefault="00D62021" w:rsidP="00235933">
            <w:pPr>
              <w:rPr>
                <w:highlight w:val="yellow"/>
              </w:rPr>
            </w:pPr>
            <w:r w:rsidRPr="008F724F">
              <w:rPr>
                <w:highlight w:val="yellow"/>
              </w:rPr>
              <w:t>Total</w:t>
            </w:r>
            <w:r w:rsidR="008F724F" w:rsidRPr="008F724F">
              <w:rPr>
                <w:highlight w:val="yellow"/>
              </w:rPr>
              <w:t xml:space="preserve"> Allocated Overhead Costs</w:t>
            </w:r>
          </w:p>
        </w:tc>
        <w:tc>
          <w:tcPr>
            <w:tcW w:w="1890" w:type="dxa"/>
          </w:tcPr>
          <w:p w:rsidR="00D62021" w:rsidRPr="008F724F" w:rsidRDefault="008F724F" w:rsidP="00235933">
            <w:pPr>
              <w:jc w:val="center"/>
              <w:rPr>
                <w:highlight w:val="yellow"/>
              </w:rPr>
            </w:pPr>
            <w:r>
              <w:t>$6,160,000</w:t>
            </w:r>
          </w:p>
        </w:tc>
        <w:tc>
          <w:tcPr>
            <w:tcW w:w="1440" w:type="dxa"/>
          </w:tcPr>
          <w:p w:rsidR="00D62021" w:rsidRPr="008F724F" w:rsidRDefault="008F724F" w:rsidP="0023593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$3,016,000</w:t>
            </w:r>
          </w:p>
        </w:tc>
        <w:tc>
          <w:tcPr>
            <w:tcW w:w="1530" w:type="dxa"/>
            <w:tcBorders>
              <w:right w:val="single" w:sz="18" w:space="0" w:color="000000" w:themeColor="text1"/>
            </w:tcBorders>
          </w:tcPr>
          <w:p w:rsidR="00D62021" w:rsidRPr="008F724F" w:rsidRDefault="008F724F" w:rsidP="0023593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$3,144,000</w:t>
            </w:r>
          </w:p>
        </w:tc>
        <w:tc>
          <w:tcPr>
            <w:tcW w:w="1440" w:type="dxa"/>
            <w:tcBorders>
              <w:left w:val="single" w:sz="18" w:space="0" w:color="000000" w:themeColor="text1"/>
            </w:tcBorders>
          </w:tcPr>
          <w:p w:rsidR="00D62021" w:rsidRPr="008F724F" w:rsidRDefault="008F724F" w:rsidP="0023593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$$6,160,000</w:t>
            </w:r>
          </w:p>
        </w:tc>
      </w:tr>
    </w:tbl>
    <w:p w:rsidR="00D62021" w:rsidRPr="00DB2870" w:rsidRDefault="00D62021" w:rsidP="00D62021"/>
    <w:p w:rsidR="00D62021" w:rsidRDefault="00D62021">
      <w:pPr>
        <w:rPr>
          <w:sz w:val="28"/>
          <w:szCs w:val="28"/>
        </w:rPr>
      </w:pPr>
    </w:p>
    <w:sectPr w:rsidR="00D62021" w:rsidSect="00D620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0BF" w:rsidRDefault="002B30BF" w:rsidP="004B0C85">
      <w:r>
        <w:separator/>
      </w:r>
    </w:p>
  </w:endnote>
  <w:endnote w:type="continuationSeparator" w:id="0">
    <w:p w:rsidR="002B30BF" w:rsidRDefault="002B30BF" w:rsidP="004B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0BF" w:rsidRDefault="002B30BF" w:rsidP="004B0C85">
      <w:r>
        <w:separator/>
      </w:r>
    </w:p>
  </w:footnote>
  <w:footnote w:type="continuationSeparator" w:id="0">
    <w:p w:rsidR="002B30BF" w:rsidRDefault="002B30BF" w:rsidP="004B0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4506469"/>
      <w:docPartObj>
        <w:docPartGallery w:val="Page Numbers (Top of Page)"/>
        <w:docPartUnique/>
      </w:docPartObj>
    </w:sdtPr>
    <w:sdtEndPr/>
    <w:sdtContent>
      <w:p w:rsidR="002B30BF" w:rsidRDefault="002B30B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AB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B30BF" w:rsidRDefault="002B30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4C32"/>
    <w:multiLevelType w:val="hybridMultilevel"/>
    <w:tmpl w:val="9A10E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9042A"/>
    <w:multiLevelType w:val="hybridMultilevel"/>
    <w:tmpl w:val="BB6E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910CF"/>
    <w:multiLevelType w:val="hybridMultilevel"/>
    <w:tmpl w:val="0A58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660D4"/>
    <w:multiLevelType w:val="hybridMultilevel"/>
    <w:tmpl w:val="DA7E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12E6E"/>
    <w:multiLevelType w:val="hybridMultilevel"/>
    <w:tmpl w:val="95B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26EA1"/>
    <w:multiLevelType w:val="hybridMultilevel"/>
    <w:tmpl w:val="DE421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C05A2"/>
    <w:multiLevelType w:val="hybridMultilevel"/>
    <w:tmpl w:val="95BE1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DF479D"/>
    <w:multiLevelType w:val="hybridMultilevel"/>
    <w:tmpl w:val="266A1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C388E"/>
    <w:multiLevelType w:val="hybridMultilevel"/>
    <w:tmpl w:val="CEC63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527FD"/>
    <w:multiLevelType w:val="hybridMultilevel"/>
    <w:tmpl w:val="C1008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626B8"/>
    <w:multiLevelType w:val="hybridMultilevel"/>
    <w:tmpl w:val="41081D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2826857"/>
    <w:multiLevelType w:val="singleLevel"/>
    <w:tmpl w:val="5E8EDFF2"/>
    <w:lvl w:ilvl="0">
      <w:start w:val="10"/>
      <w:numFmt w:val="upperLetter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66371D0F"/>
    <w:multiLevelType w:val="hybridMultilevel"/>
    <w:tmpl w:val="591E3B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B07725"/>
    <w:multiLevelType w:val="hybridMultilevel"/>
    <w:tmpl w:val="277E7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A0845"/>
    <w:multiLevelType w:val="hybridMultilevel"/>
    <w:tmpl w:val="01C09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74959"/>
    <w:multiLevelType w:val="hybridMultilevel"/>
    <w:tmpl w:val="A2648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29372C"/>
    <w:multiLevelType w:val="hybridMultilevel"/>
    <w:tmpl w:val="13DC3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6"/>
  </w:num>
  <w:num w:numId="5">
    <w:abstractNumId w:val="5"/>
  </w:num>
  <w:num w:numId="6">
    <w:abstractNumId w:val="8"/>
  </w:num>
  <w:num w:numId="7">
    <w:abstractNumId w:val="13"/>
  </w:num>
  <w:num w:numId="8">
    <w:abstractNumId w:val="9"/>
  </w:num>
  <w:num w:numId="9">
    <w:abstractNumId w:val="15"/>
  </w:num>
  <w:num w:numId="10">
    <w:abstractNumId w:val="14"/>
  </w:num>
  <w:num w:numId="11">
    <w:abstractNumId w:val="7"/>
  </w:num>
  <w:num w:numId="12">
    <w:abstractNumId w:val="0"/>
  </w:num>
  <w:num w:numId="13">
    <w:abstractNumId w:val="10"/>
  </w:num>
  <w:num w:numId="14">
    <w:abstractNumId w:val="3"/>
  </w:num>
  <w:num w:numId="15">
    <w:abstractNumId w:val="12"/>
  </w:num>
  <w:num w:numId="16">
    <w:abstractNumId w:val="6"/>
  </w:num>
  <w:num w:numId="17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175"/>
    <w:rsid w:val="000548C3"/>
    <w:rsid w:val="001452AA"/>
    <w:rsid w:val="00163CD3"/>
    <w:rsid w:val="001C3615"/>
    <w:rsid w:val="001E2DB3"/>
    <w:rsid w:val="0021707C"/>
    <w:rsid w:val="00251666"/>
    <w:rsid w:val="00255C54"/>
    <w:rsid w:val="002B30BF"/>
    <w:rsid w:val="002C003D"/>
    <w:rsid w:val="002C3788"/>
    <w:rsid w:val="002F1162"/>
    <w:rsid w:val="0033705E"/>
    <w:rsid w:val="00340A03"/>
    <w:rsid w:val="00352CD6"/>
    <w:rsid w:val="00371229"/>
    <w:rsid w:val="00381C95"/>
    <w:rsid w:val="003A174C"/>
    <w:rsid w:val="003E2971"/>
    <w:rsid w:val="00412BE7"/>
    <w:rsid w:val="004B0C85"/>
    <w:rsid w:val="005744DC"/>
    <w:rsid w:val="00617961"/>
    <w:rsid w:val="00636ABF"/>
    <w:rsid w:val="00644575"/>
    <w:rsid w:val="006657A8"/>
    <w:rsid w:val="00680188"/>
    <w:rsid w:val="006B3864"/>
    <w:rsid w:val="00733175"/>
    <w:rsid w:val="007447CE"/>
    <w:rsid w:val="00775BF0"/>
    <w:rsid w:val="00863B4F"/>
    <w:rsid w:val="008C44F0"/>
    <w:rsid w:val="008C6781"/>
    <w:rsid w:val="008D680D"/>
    <w:rsid w:val="008F6AAF"/>
    <w:rsid w:val="008F724F"/>
    <w:rsid w:val="00950473"/>
    <w:rsid w:val="009C7DC9"/>
    <w:rsid w:val="009D4070"/>
    <w:rsid w:val="00AB0564"/>
    <w:rsid w:val="00AF7AEC"/>
    <w:rsid w:val="00B04F83"/>
    <w:rsid w:val="00B11234"/>
    <w:rsid w:val="00B13C62"/>
    <w:rsid w:val="00B1715C"/>
    <w:rsid w:val="00BC0A30"/>
    <w:rsid w:val="00C03DFD"/>
    <w:rsid w:val="00C060C8"/>
    <w:rsid w:val="00C14161"/>
    <w:rsid w:val="00C746BF"/>
    <w:rsid w:val="00D3088F"/>
    <w:rsid w:val="00D33DAF"/>
    <w:rsid w:val="00D62021"/>
    <w:rsid w:val="00D8067D"/>
    <w:rsid w:val="00D82A80"/>
    <w:rsid w:val="00DB2870"/>
    <w:rsid w:val="00DF6AD2"/>
    <w:rsid w:val="00E36845"/>
    <w:rsid w:val="00E673C5"/>
    <w:rsid w:val="00EC2D04"/>
    <w:rsid w:val="00ED62E5"/>
    <w:rsid w:val="00EF6640"/>
    <w:rsid w:val="00F15ABE"/>
    <w:rsid w:val="00F37EAC"/>
    <w:rsid w:val="00F5296E"/>
    <w:rsid w:val="00FC20DA"/>
    <w:rsid w:val="00FE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666"/>
  </w:style>
  <w:style w:type="paragraph" w:styleId="Heading1">
    <w:name w:val="heading 1"/>
    <w:basedOn w:val="Normal"/>
    <w:next w:val="Normal"/>
    <w:link w:val="Heading1Char"/>
    <w:qFormat/>
    <w:rsid w:val="00BC0A30"/>
    <w:pPr>
      <w:keepNext/>
      <w:widowControl w:val="0"/>
      <w:ind w:firstLine="720"/>
      <w:outlineLvl w:val="0"/>
    </w:pPr>
    <w:rPr>
      <w:rFonts w:ascii="Book Antiqua" w:eastAsia="Times New Roman" w:hAnsi="Book Antiqua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7E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C0A30"/>
    <w:pPr>
      <w:keepNext/>
      <w:widowControl w:val="0"/>
      <w:numPr>
        <w:numId w:val="1"/>
      </w:numPr>
      <w:outlineLvl w:val="4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4DC"/>
    <w:pPr>
      <w:ind w:left="720"/>
      <w:contextualSpacing/>
    </w:pPr>
  </w:style>
  <w:style w:type="table" w:styleId="TableGrid">
    <w:name w:val="Table Grid"/>
    <w:basedOn w:val="TableNormal"/>
    <w:uiPriority w:val="59"/>
    <w:rsid w:val="00AB05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0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C85"/>
  </w:style>
  <w:style w:type="paragraph" w:styleId="Footer">
    <w:name w:val="footer"/>
    <w:basedOn w:val="Normal"/>
    <w:link w:val="FooterChar"/>
    <w:unhideWhenUsed/>
    <w:rsid w:val="004B0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B0C85"/>
  </w:style>
  <w:style w:type="character" w:customStyle="1" w:styleId="Heading1Char">
    <w:name w:val="Heading 1 Char"/>
    <w:basedOn w:val="DefaultParagraphFont"/>
    <w:link w:val="Heading1"/>
    <w:rsid w:val="00BC0A30"/>
    <w:rPr>
      <w:rFonts w:ascii="Book Antiqua" w:eastAsia="Times New Roman" w:hAnsi="Book Antiqua"/>
      <w:szCs w:val="20"/>
    </w:rPr>
  </w:style>
  <w:style w:type="character" w:customStyle="1" w:styleId="Heading5Char">
    <w:name w:val="Heading 5 Char"/>
    <w:basedOn w:val="DefaultParagraphFont"/>
    <w:link w:val="Heading5"/>
    <w:rsid w:val="00BC0A30"/>
    <w:rPr>
      <w:rFonts w:eastAsia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F37EA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7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nt1">
    <w:name w:val="content1"/>
    <w:basedOn w:val="DefaultParagraphFont"/>
    <w:rsid w:val="00F37EAC"/>
    <w:rPr>
      <w:rFonts w:ascii="Verdana" w:hAnsi="Verdana" w:hint="default"/>
      <w:strike w:val="0"/>
      <w:dstrike w:val="0"/>
      <w:color w:val="000000"/>
      <w:sz w:val="23"/>
      <w:szCs w:val="23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37EAC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C54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rsid w:val="00ED62E5"/>
    <w:pPr>
      <w:spacing w:after="240"/>
      <w:jc w:val="both"/>
    </w:pPr>
    <w:rPr>
      <w:rFonts w:ascii="Arial Narrow" w:eastAsia="Times New Roman" w:hAnsi="Arial Narrow"/>
      <w:b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D62E5"/>
    <w:rPr>
      <w:rFonts w:ascii="Arial Narrow" w:eastAsia="Times New Roman" w:hAnsi="Arial Narrow"/>
      <w:b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666"/>
  </w:style>
  <w:style w:type="paragraph" w:styleId="Heading1">
    <w:name w:val="heading 1"/>
    <w:basedOn w:val="Normal"/>
    <w:next w:val="Normal"/>
    <w:link w:val="Heading1Char"/>
    <w:qFormat/>
    <w:rsid w:val="00BC0A30"/>
    <w:pPr>
      <w:keepNext/>
      <w:widowControl w:val="0"/>
      <w:ind w:firstLine="720"/>
      <w:outlineLvl w:val="0"/>
    </w:pPr>
    <w:rPr>
      <w:rFonts w:ascii="Book Antiqua" w:eastAsia="Times New Roman" w:hAnsi="Book Antiqua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7E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BC0A30"/>
    <w:pPr>
      <w:keepNext/>
      <w:widowControl w:val="0"/>
      <w:numPr>
        <w:numId w:val="1"/>
      </w:numPr>
      <w:outlineLvl w:val="4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4DC"/>
    <w:pPr>
      <w:ind w:left="720"/>
      <w:contextualSpacing/>
    </w:pPr>
  </w:style>
  <w:style w:type="table" w:styleId="TableGrid">
    <w:name w:val="Table Grid"/>
    <w:basedOn w:val="TableNormal"/>
    <w:uiPriority w:val="59"/>
    <w:rsid w:val="00AB05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0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C85"/>
  </w:style>
  <w:style w:type="paragraph" w:styleId="Footer">
    <w:name w:val="footer"/>
    <w:basedOn w:val="Normal"/>
    <w:link w:val="FooterChar"/>
    <w:unhideWhenUsed/>
    <w:rsid w:val="004B0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B0C85"/>
  </w:style>
  <w:style w:type="character" w:customStyle="1" w:styleId="Heading1Char">
    <w:name w:val="Heading 1 Char"/>
    <w:basedOn w:val="DefaultParagraphFont"/>
    <w:link w:val="Heading1"/>
    <w:rsid w:val="00BC0A30"/>
    <w:rPr>
      <w:rFonts w:ascii="Book Antiqua" w:eastAsia="Times New Roman" w:hAnsi="Book Antiqua"/>
      <w:szCs w:val="20"/>
    </w:rPr>
  </w:style>
  <w:style w:type="character" w:customStyle="1" w:styleId="Heading5Char">
    <w:name w:val="Heading 5 Char"/>
    <w:basedOn w:val="DefaultParagraphFont"/>
    <w:link w:val="Heading5"/>
    <w:rsid w:val="00BC0A30"/>
    <w:rPr>
      <w:rFonts w:eastAsia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F37EAC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7E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tent1">
    <w:name w:val="content1"/>
    <w:basedOn w:val="DefaultParagraphFont"/>
    <w:rsid w:val="00F37EAC"/>
    <w:rPr>
      <w:rFonts w:ascii="Verdana" w:hAnsi="Verdana" w:hint="default"/>
      <w:strike w:val="0"/>
      <w:dstrike w:val="0"/>
      <w:color w:val="000000"/>
      <w:sz w:val="23"/>
      <w:szCs w:val="23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37EAC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C54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rsid w:val="00ED62E5"/>
    <w:pPr>
      <w:spacing w:after="240"/>
      <w:jc w:val="both"/>
    </w:pPr>
    <w:rPr>
      <w:rFonts w:ascii="Arial Narrow" w:eastAsia="Times New Roman" w:hAnsi="Arial Narrow"/>
      <w:b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D62E5"/>
    <w:rPr>
      <w:rFonts w:ascii="Arial Narrow" w:eastAsia="Times New Roman" w:hAnsi="Arial Narrow"/>
      <w:b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Hassell</dc:creator>
  <cp:lastModifiedBy>John Hassell</cp:lastModifiedBy>
  <cp:revision>16</cp:revision>
  <cp:lastPrinted>2011-10-23T02:59:00Z</cp:lastPrinted>
  <dcterms:created xsi:type="dcterms:W3CDTF">2014-02-27T15:34:00Z</dcterms:created>
  <dcterms:modified xsi:type="dcterms:W3CDTF">2014-02-27T19:00:00Z</dcterms:modified>
</cp:coreProperties>
</file>