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20" w:rsidRDefault="00AE2E60" w:rsidP="00B66D20">
      <w:pPr>
        <w:pStyle w:val="Heading2"/>
        <w:jc w:val="center"/>
        <w:rPr>
          <w:sz w:val="36"/>
        </w:rPr>
      </w:pPr>
      <w:r>
        <w:rPr>
          <w:sz w:val="36"/>
        </w:rPr>
        <w:t xml:space="preserve">HILTON CHAPTER </w:t>
      </w:r>
      <w:r w:rsidR="00B66D20">
        <w:rPr>
          <w:sz w:val="36"/>
        </w:rPr>
        <w:t>P</w:t>
      </w:r>
      <w:r>
        <w:rPr>
          <w:sz w:val="36"/>
        </w:rPr>
        <w:t xml:space="preserve">5-54 </w:t>
      </w:r>
      <w:r w:rsidR="00892C97">
        <w:rPr>
          <w:sz w:val="36"/>
        </w:rPr>
        <w:t xml:space="preserve">&amp; P 7-34 </w:t>
      </w:r>
      <w:r w:rsidR="00B66D20" w:rsidRPr="00C74CEE">
        <w:rPr>
          <w:sz w:val="36"/>
        </w:rPr>
        <w:t>PROBLEM SOLUTION</w:t>
      </w:r>
      <w:r w:rsidR="00892C97">
        <w:rPr>
          <w:sz w:val="36"/>
        </w:rPr>
        <w:t>S</w:t>
      </w:r>
    </w:p>
    <w:p w:rsidR="00B66D20" w:rsidRDefault="00B66D20" w:rsidP="00B66D20">
      <w:pPr>
        <w:pStyle w:val="Heading2"/>
        <w:ind w:left="360" w:hanging="360"/>
      </w:pPr>
    </w:p>
    <w:p w:rsidR="00B66D20" w:rsidRDefault="00B66D20" w:rsidP="00B66D20">
      <w:pPr>
        <w:pStyle w:val="Heading2"/>
        <w:ind w:left="360" w:hanging="360"/>
      </w:pPr>
      <w:r>
        <w:t xml:space="preserve">Problem 5-54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2"/>
        <w:gridCol w:w="54"/>
        <w:gridCol w:w="2826"/>
        <w:gridCol w:w="360"/>
        <w:gridCol w:w="180"/>
        <w:gridCol w:w="2970"/>
        <w:gridCol w:w="2070"/>
        <w:gridCol w:w="18"/>
      </w:tblGrid>
      <w:tr w:rsidR="00B66D20">
        <w:trPr>
          <w:gridAfter w:val="2"/>
          <w:wAfter w:w="208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1.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Activity Cost Pool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Type of Activity</w:t>
            </w:r>
          </w:p>
        </w:tc>
      </w:tr>
      <w:tr w:rsidR="00B66D20">
        <w:trPr>
          <w:gridAfter w:val="2"/>
          <w:wAfter w:w="2088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I: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Machine-related costs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Unit-level</w:t>
            </w:r>
          </w:p>
        </w:tc>
      </w:tr>
      <w:tr w:rsidR="00B66D20">
        <w:trPr>
          <w:gridAfter w:val="2"/>
          <w:wAfter w:w="2088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II: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Setup and inspection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Batch-level</w:t>
            </w:r>
          </w:p>
        </w:tc>
      </w:tr>
      <w:tr w:rsidR="00B66D20">
        <w:trPr>
          <w:gridAfter w:val="2"/>
          <w:wAfter w:w="2088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III: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Engineering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Product-sustaining-level</w:t>
            </w:r>
          </w:p>
        </w:tc>
        <w:bookmarkStart w:id="0" w:name="_GoBack"/>
        <w:bookmarkEnd w:id="0"/>
      </w:tr>
      <w:tr w:rsidR="00B66D20">
        <w:trPr>
          <w:gridAfter w:val="2"/>
          <w:wAfter w:w="2088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IV: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Plant-related costs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Facility-level</w:t>
            </w:r>
          </w:p>
        </w:tc>
      </w:tr>
      <w:tr w:rsidR="00B66D20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</w:tr>
      <w:tr w:rsidR="00B66D20">
        <w:trPr>
          <w:gridAfter w:val="1"/>
          <w:wAfter w:w="18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2.</w:t>
            </w:r>
          </w:p>
        </w:tc>
        <w:tc>
          <w:tcPr>
            <w:tcW w:w="898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Calculation of pool rates:</w:t>
            </w: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spacing w:after="120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after="120"/>
              <w:jc w:val="right"/>
            </w:pPr>
            <w:r>
              <w:t>I: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after="120"/>
            </w:pPr>
            <w:r>
              <w:t>Machine-related costs: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after="120"/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after="120"/>
            </w:pP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jc w:val="right"/>
            </w:pPr>
            <w:r>
              <w:rPr>
                <w:position w:val="-30"/>
              </w:rPr>
              <w:object w:dxaOrig="208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36pt" o:ole="" fillcolor="window">
                  <v:imagedata r:id="rId5" o:title=""/>
                </v:shape>
                <o:OLEObject Type="Embed" ProgID="Equation.3" ShapeID="_x0000_i1025" DrawAspect="Content" ObjectID="_1517029753" r:id="rId6"/>
              </w:obje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80"/>
            </w:pPr>
            <w:r>
              <w:t>=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80"/>
            </w:pPr>
            <w:r>
              <w:t>$100 per machine hr.</w:t>
            </w: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jc w:val="right"/>
            </w:pPr>
            <w:r>
              <w:t>II.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Setup and inspection: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jc w:val="right"/>
            </w:pPr>
            <w:r>
              <w:rPr>
                <w:position w:val="-26"/>
              </w:rPr>
              <w:object w:dxaOrig="1005" w:dyaOrig="675">
                <v:shape id="_x0000_i1026" type="#_x0000_t75" style="width:50.4pt;height:33.6pt" o:ole="" fillcolor="window">
                  <v:imagedata r:id="rId7" o:title=""/>
                </v:shape>
                <o:OLEObject Type="Embed" ProgID="Equation.3" ShapeID="_x0000_i1026" DrawAspect="Content" ObjectID="_1517029754" r:id="rId8"/>
              </w:obje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80"/>
            </w:pPr>
            <w:r>
              <w:t>=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80"/>
            </w:pPr>
            <w:r>
              <w:t>$9,000 per run</w:t>
            </w: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jc w:val="right"/>
            </w:pPr>
            <w:r>
              <w:t>III.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Engineering: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jc w:val="right"/>
            </w:pPr>
            <w:r>
              <w:rPr>
                <w:position w:val="-32"/>
              </w:rPr>
              <w:object w:dxaOrig="1965" w:dyaOrig="735">
                <v:shape id="_x0000_i1027" type="#_x0000_t75" style="width:98.4pt;height:36.6pt" o:ole="" fillcolor="window">
                  <v:imagedata r:id="rId9" o:title=""/>
                </v:shape>
                <o:OLEObject Type="Embed" ProgID="Equation.3" ShapeID="_x0000_i1027" DrawAspect="Content" ObjectID="_1517029755" r:id="rId10"/>
              </w:obje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80"/>
            </w:pPr>
            <w:r>
              <w:t>=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80"/>
            </w:pPr>
            <w:r>
              <w:t>$1,800 per change order</w:t>
            </w: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jc w:val="right"/>
            </w:pPr>
            <w:r>
              <w:t>IV.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Plant-related costs: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before="180"/>
            </w:pPr>
          </w:p>
        </w:tc>
      </w:tr>
      <w:tr w:rsidR="00B66D20">
        <w:trPr>
          <w:gridAfter w:val="1"/>
          <w:wAfter w:w="18" w:type="dxa"/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jc w:val="right"/>
            </w:pPr>
            <w:r>
              <w:rPr>
                <w:position w:val="-30"/>
              </w:rPr>
              <w:object w:dxaOrig="1215" w:dyaOrig="720">
                <v:shape id="_x0000_i1028" type="#_x0000_t75" style="width:60.6pt;height:36pt" o:ole="" fillcolor="window">
                  <v:imagedata r:id="rId11" o:title=""/>
                </v:shape>
                <o:OLEObject Type="Embed" ProgID="Equation.3" ShapeID="_x0000_i1028" DrawAspect="Content" ObjectID="_1517029756" r:id="rId12"/>
              </w:obje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80"/>
            </w:pPr>
            <w:r>
              <w:t>=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80"/>
            </w:pPr>
            <w:r>
              <w:t>$100 per sq. ft.</w:t>
            </w:r>
          </w:p>
        </w:tc>
      </w:tr>
    </w:tbl>
    <w:p w:rsidR="00B66D20" w:rsidRDefault="00B66D20" w:rsidP="00B66D20">
      <w:pPr>
        <w:pStyle w:val="TableFinancial"/>
      </w:pPr>
    </w:p>
    <w:p w:rsidR="00B66D20" w:rsidRDefault="00B66D20" w:rsidP="00B66D20">
      <w:pPr>
        <w:pStyle w:val="Heading2"/>
      </w:pPr>
      <w:r>
        <w:rPr>
          <w:caps w:val="0"/>
        </w:rPr>
        <w:br w:type="page"/>
      </w:r>
      <w:r>
        <w:lastRenderedPageBreak/>
        <w:t>Problem 5-54 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2"/>
        <w:gridCol w:w="540"/>
        <w:gridCol w:w="270"/>
        <w:gridCol w:w="900"/>
        <w:gridCol w:w="360"/>
        <w:gridCol w:w="1170"/>
        <w:gridCol w:w="180"/>
        <w:gridCol w:w="270"/>
        <w:gridCol w:w="1440"/>
        <w:gridCol w:w="270"/>
        <w:gridCol w:w="90"/>
        <w:gridCol w:w="180"/>
        <w:gridCol w:w="630"/>
        <w:gridCol w:w="270"/>
        <w:gridCol w:w="1890"/>
      </w:tblGrid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3.</w:t>
            </w:r>
          </w:p>
        </w:tc>
        <w:tc>
          <w:tcPr>
            <w:tcW w:w="37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Unit costs for odds and ends:</w:t>
            </w:r>
          </w:p>
        </w:tc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center"/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jc w:val="right"/>
            </w:pPr>
            <w:r>
              <w:t>I: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Machine-related costs: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center"/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Odds: $100 per machine hr.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8 machine hr. per unit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  <w:jc w:val="center"/>
            </w:pPr>
            <w: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$800 per unit</w:t>
            </w: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Ends: $100 per machine hr.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2 machine hr. per unit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  <w:jc w:val="center"/>
            </w:pPr>
            <w: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$200 per unit</w:t>
            </w: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jc w:val="right"/>
            </w:pPr>
            <w:r>
              <w:t>II:</w:t>
            </w: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Setup and inspection: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Odds: $9,000 per run ÷ 25 units per run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  <w:jc w:val="center"/>
            </w:pPr>
            <w:r>
              <w:t>=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$360 per unit</w:t>
            </w: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Ends: $9,000 per run ÷ 125 units per run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  <w:jc w:val="center"/>
            </w:pPr>
            <w:r>
              <w:t>=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$72 per unit</w:t>
            </w: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center"/>
            </w:pP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jc w:val="right"/>
            </w:pPr>
            <w:r>
              <w:t>III:</w:t>
            </w: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Engineering: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Odds:</w:t>
            </w:r>
          </w:p>
        </w:tc>
        <w:tc>
          <w:tcPr>
            <w:tcW w:w="675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rPr>
                <w:position w:val="-30"/>
              </w:rPr>
              <w:object w:dxaOrig="5220" w:dyaOrig="720">
                <v:shape id="_x0000_i1029" type="#_x0000_t75" style="width:261pt;height:36pt" o:ole="" fillcolor="window">
                  <v:imagedata r:id="rId13" o:title=""/>
                </v:shape>
                <o:OLEObject Type="Embed" ProgID="Equation.3" ShapeID="_x0000_i1029" DrawAspect="Content" ObjectID="_1517029757" r:id="rId14"/>
              </w:object>
            </w:r>
          </w:p>
        </w:tc>
      </w:tr>
      <w:tr w:rsidR="00B66D20">
        <w:trPr>
          <w:cantSplit/>
          <w:trHeight w:hRule="exact" w:val="1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center"/>
            </w:pP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60"/>
            </w:pPr>
            <w:r>
              <w:t>=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rPr>
                <w:position w:val="-30"/>
              </w:rPr>
              <w:object w:dxaOrig="1185" w:dyaOrig="720">
                <v:shape id="_x0000_i1030" type="#_x0000_t75" style="width:59.4pt;height:36pt" o:ole="" fillcolor="window">
                  <v:imagedata r:id="rId15" o:title=""/>
                </v:shape>
                <o:OLEObject Type="Embed" ProgID="Equation.3" ShapeID="_x0000_i1030" DrawAspect="Content" ObjectID="_1517029758" r:id="rId16"/>
              </w:obje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60"/>
              <w:jc w:val="center"/>
            </w:pPr>
            <w:r>
              <w:t>=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$270 per unit</w:t>
            </w: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Ends:</w:t>
            </w:r>
          </w:p>
        </w:tc>
        <w:tc>
          <w:tcPr>
            <w:tcW w:w="675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after="120"/>
            </w:pPr>
            <w:r>
              <w:rPr>
                <w:position w:val="-30"/>
              </w:rPr>
              <w:object w:dxaOrig="5220" w:dyaOrig="720">
                <v:shape id="_x0000_i1031" type="#_x0000_t75" style="width:261pt;height:36pt" o:ole="" fillcolor="window">
                  <v:imagedata r:id="rId17" o:title=""/>
                </v:shape>
                <o:OLEObject Type="Embed" ProgID="Equation.3" ShapeID="_x0000_i1031" DrawAspect="Content" ObjectID="_1517029759" r:id="rId18"/>
              </w:object>
            </w: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60"/>
              <w:jc w:val="center"/>
            </w:pPr>
            <w:r>
              <w:t>=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rPr>
                <w:position w:val="-30"/>
              </w:rPr>
              <w:object w:dxaOrig="1185" w:dyaOrig="720">
                <v:shape id="_x0000_i1032" type="#_x0000_t75" style="width:59.4pt;height:36pt" o:ole="" fillcolor="window">
                  <v:imagedata r:id="rId19" o:title=""/>
                </v:shape>
                <o:OLEObject Type="Embed" ProgID="Equation.3" ShapeID="_x0000_i1032" DrawAspect="Content" ObjectID="_1517029760" r:id="rId20"/>
              </w:obje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60"/>
              <w:jc w:val="center"/>
            </w:pPr>
            <w:r>
              <w:t>=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$18 per unit</w:t>
            </w: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jc w:val="right"/>
            </w:pPr>
          </w:p>
        </w:tc>
        <w:tc>
          <w:tcPr>
            <w:tcW w:w="84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jc w:val="right"/>
            </w:pPr>
            <w:r>
              <w:t>IV.</w:t>
            </w:r>
          </w:p>
        </w:tc>
        <w:tc>
          <w:tcPr>
            <w:tcW w:w="846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t>Plant-related costs:</w:t>
            </w: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240"/>
            </w:pPr>
            <w:r>
              <w:t>Odds:</w:t>
            </w:r>
          </w:p>
        </w:tc>
        <w:tc>
          <w:tcPr>
            <w:tcW w:w="675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Heading1"/>
            </w:pPr>
            <w:r>
              <w:rPr>
                <w:position w:val="-30"/>
              </w:rPr>
              <w:object w:dxaOrig="3495" w:dyaOrig="720">
                <v:shape id="_x0000_i1033" type="#_x0000_t75" style="width:174.6pt;height:36pt" o:ole="" fillcolor="window">
                  <v:imagedata r:id="rId21" o:title=""/>
                </v:shape>
                <o:OLEObject Type="Embed" ProgID="Equation.3" ShapeID="_x0000_i1033" DrawAspect="Content" ObjectID="_1517029761" r:id="rId22"/>
              </w:object>
            </w: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=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rPr>
                <w:position w:val="-30"/>
              </w:rPr>
              <w:object w:dxaOrig="1185" w:dyaOrig="720">
                <v:shape id="_x0000_i1034" type="#_x0000_t75" style="width:59.4pt;height:36pt" o:ole="" fillcolor="window">
                  <v:imagedata r:id="rId23" o:title=""/>
                </v:shape>
                <o:OLEObject Type="Embed" ProgID="Equation.3" ShapeID="_x0000_i1034" DrawAspect="Content" ObjectID="_1517029762" r:id="rId24"/>
              </w:obje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=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$307.20 per unit</w:t>
            </w: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spacing w:after="120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after="12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spacing w:after="12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 w:after="120"/>
            </w:pPr>
            <w:r>
              <w:t>Ends:</w:t>
            </w:r>
          </w:p>
        </w:tc>
        <w:tc>
          <w:tcPr>
            <w:tcW w:w="675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after="120"/>
            </w:pPr>
            <w:r>
              <w:rPr>
                <w:position w:val="-30"/>
              </w:rPr>
              <w:object w:dxaOrig="3495" w:dyaOrig="720">
                <v:shape id="_x0000_i1035" type="#_x0000_t75" style="width:174.6pt;height:36pt" o:ole="" fillcolor="window">
                  <v:imagedata r:id="rId25" o:title=""/>
                </v:shape>
                <o:OLEObject Type="Embed" ProgID="Equation.3" ShapeID="_x0000_i1035" DrawAspect="Content" ObjectID="_1517029763" r:id="rId26"/>
              </w:object>
            </w:r>
          </w:p>
        </w:tc>
      </w:tr>
      <w:tr w:rsidR="00B66D20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=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</w:pPr>
            <w:r>
              <w:rPr>
                <w:position w:val="-30"/>
              </w:rPr>
              <w:object w:dxaOrig="1185" w:dyaOrig="720">
                <v:shape id="_x0000_i1036" type="#_x0000_t75" style="width:59.4pt;height:36pt" o:ole="" fillcolor="window">
                  <v:imagedata r:id="rId27" o:title=""/>
                </v:shape>
                <o:OLEObject Type="Embed" ProgID="Equation.3" ShapeID="_x0000_i1036" DrawAspect="Content" ObjectID="_1517029764" r:id="rId28"/>
              </w:objec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=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6D20" w:rsidRDefault="00B66D20">
            <w:pPr>
              <w:pStyle w:val="Table"/>
              <w:spacing w:before="120"/>
            </w:pPr>
            <w:r>
              <w:t>$15.36 per unit</w:t>
            </w:r>
          </w:p>
        </w:tc>
      </w:tr>
    </w:tbl>
    <w:p w:rsidR="00B66D20" w:rsidRDefault="00B66D20" w:rsidP="00B66D20">
      <w:pPr>
        <w:pStyle w:val="Heading2"/>
      </w:pPr>
      <w:r>
        <w:rPr>
          <w:b w:val="0"/>
          <w:caps w:val="0"/>
        </w:rPr>
        <w:br w:type="page"/>
      </w:r>
      <w:r>
        <w:lastRenderedPageBreak/>
        <w:t>Problem 5-54 (Continued)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8"/>
        <w:gridCol w:w="4572"/>
        <w:gridCol w:w="1530"/>
        <w:gridCol w:w="1350"/>
        <w:gridCol w:w="1530"/>
      </w:tblGrid>
      <w:tr w:rsidR="00B66D20">
        <w:trPr>
          <w:gridAfter w:val="1"/>
          <w:wAfter w:w="1530" w:type="dxa"/>
        </w:trPr>
        <w:tc>
          <w:tcPr>
            <w:tcW w:w="576" w:type="dxa"/>
            <w:gridSpan w:val="2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4.</w:t>
            </w:r>
          </w:p>
        </w:tc>
        <w:tc>
          <w:tcPr>
            <w:tcW w:w="7452" w:type="dxa"/>
            <w:gridSpan w:val="3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New product cost per unit using the ABC system:</w:t>
            </w:r>
          </w:p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</w:tr>
      <w:tr w:rsidR="00B66D20">
        <w:trPr>
          <w:gridAfter w:val="1"/>
          <w:wAfter w:w="1530" w:type="dxa"/>
        </w:trPr>
        <w:tc>
          <w:tcPr>
            <w:tcW w:w="558" w:type="dxa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Odds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Ends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4"/>
                <w:tab w:val="right" w:leader="dot" w:pos="5724"/>
              </w:tabs>
            </w:pPr>
            <w:r>
              <w:t>Direct material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   160.00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$240.00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4"/>
                <w:tab w:val="right" w:leader="dot" w:pos="5724"/>
              </w:tabs>
            </w:pPr>
            <w:r>
              <w:t>Direct labor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120.00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180.00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4"/>
                <w:tab w:val="right" w:leader="dot" w:pos="5724"/>
              </w:tabs>
            </w:pPr>
            <w:r>
              <w:t>Manufacturing overhead:</w:t>
            </w:r>
          </w:p>
        </w:tc>
        <w:tc>
          <w:tcPr>
            <w:tcW w:w="1530" w:type="dxa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  <w:tc>
          <w:tcPr>
            <w:tcW w:w="1350" w:type="dxa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4"/>
                <w:tab w:val="right" w:leader="dot" w:pos="5724"/>
              </w:tabs>
            </w:pPr>
            <w:r>
              <w:tab/>
              <w:t>Machine-related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800.00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200.00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4"/>
                <w:tab w:val="right" w:leader="dot" w:pos="5724"/>
              </w:tabs>
            </w:pPr>
            <w:r>
              <w:tab/>
              <w:t>Setup and inspection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360.00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72.00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4"/>
                <w:tab w:val="right" w:leader="dot" w:pos="5724"/>
              </w:tabs>
            </w:pPr>
            <w:r>
              <w:tab/>
              <w:t>Engineering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270.00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18.00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4"/>
                <w:tab w:val="right" w:leader="dot" w:pos="5724"/>
              </w:tabs>
            </w:pPr>
            <w:r>
              <w:tab/>
              <w:t>Plant-related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 307.20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15.36</w:t>
            </w:r>
          </w:p>
        </w:tc>
      </w:tr>
      <w:tr w:rsidR="00B66D20">
        <w:trPr>
          <w:gridAfter w:val="1"/>
          <w:wAfter w:w="1530" w:type="dxa"/>
          <w:trHeight w:val="387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4"/>
                <w:tab w:val="right" w:leader="dot" w:pos="5724"/>
              </w:tabs>
            </w:pPr>
            <w:r>
              <w:t>Total cost per unit</w:t>
            </w:r>
            <w: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double"/>
              </w:rPr>
            </w:pPr>
            <w:r>
              <w:rPr>
                <w:u w:val="double"/>
              </w:rPr>
              <w:t>$2,017.20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double"/>
              </w:rPr>
            </w:pPr>
            <w:r>
              <w:rPr>
                <w:u w:val="double"/>
              </w:rPr>
              <w:t>$725.36</w:t>
            </w:r>
          </w:p>
        </w:tc>
      </w:tr>
      <w:tr w:rsidR="00B66D20">
        <w:trPr>
          <w:gridAfter w:val="1"/>
          <w:wAfter w:w="1530" w:type="dxa"/>
        </w:trPr>
        <w:tc>
          <w:tcPr>
            <w:tcW w:w="8028" w:type="dxa"/>
            <w:gridSpan w:val="5"/>
          </w:tcPr>
          <w:p w:rsidR="00B66D20" w:rsidRDefault="00B66D20">
            <w:pPr>
              <w:pStyle w:val="Table"/>
            </w:pP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5.</w:t>
            </w:r>
          </w:p>
        </w:tc>
        <w:tc>
          <w:tcPr>
            <w:tcW w:w="7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New target prices:</w:t>
            </w:r>
          </w:p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Odds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Ends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New product cost (ABC)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$2,017.20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$725.36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Pricing policy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sym w:font="Symbol" w:char="F0B4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120%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sym w:font="Symbol" w:char="F0B4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120%</w:t>
            </w:r>
          </w:p>
        </w:tc>
      </w:tr>
      <w:tr w:rsidR="00B66D20">
        <w:trPr>
          <w:trHeight w:val="414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New target price</w:t>
            </w:r>
            <w: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double"/>
              </w:rPr>
            </w:pPr>
            <w:r>
              <w:rPr>
                <w:u w:val="double"/>
              </w:rPr>
              <w:t>$2,420.64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double"/>
              </w:rPr>
            </w:pPr>
            <w:r>
              <w:rPr>
                <w:u w:val="double"/>
              </w:rPr>
              <w:t>$870.43</w:t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</w:pPr>
            <w:r>
              <w:t>(rounded)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7452" w:type="dxa"/>
            <w:gridSpan w:val="3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6.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Full assignment of overhead costs:</w:t>
            </w:r>
          </w:p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center"/>
            </w:pP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  <w:jc w:val="right"/>
              <w:rPr>
                <w:b w:val="0"/>
              </w:rPr>
            </w:pPr>
            <w:r>
              <w:t>Odds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Ends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Manufacturing overhead costs:</w:t>
            </w:r>
          </w:p>
        </w:tc>
        <w:tc>
          <w:tcPr>
            <w:tcW w:w="1530" w:type="dxa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  <w:tc>
          <w:tcPr>
            <w:tcW w:w="1350" w:type="dxa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ab/>
              <w:t>Machine-related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  800.00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     200.00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ab/>
              <w:t>Setup and inspection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360.00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72.00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ab/>
              <w:t>Engineering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270.00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18.00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ab/>
              <w:t>Plant-related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307.20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    15.36</w:t>
            </w:r>
          </w:p>
        </w:tc>
      </w:tr>
      <w:tr w:rsidR="00B66D20">
        <w:trPr>
          <w:gridAfter w:val="1"/>
          <w:wAfter w:w="1530" w:type="dxa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Total overhead cost per unit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$1,737.20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     305.36</w:t>
            </w:r>
          </w:p>
        </w:tc>
      </w:tr>
      <w:tr w:rsidR="00B66D20">
        <w:trPr>
          <w:gridAfter w:val="1"/>
          <w:wAfter w:w="1530" w:type="dxa"/>
          <w:trHeight w:val="360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sym w:font="Symbol" w:char="F0B4"/>
            </w:r>
            <w:r>
              <w:t xml:space="preserve"> Production volume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b w:val="0"/>
                <w:u w:val="single"/>
              </w:rPr>
            </w:pPr>
            <w:r>
              <w:rPr>
                <w:u w:val="single"/>
              </w:rPr>
              <w:sym w:font="Symbol" w:char="F0B4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1,000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b w:val="0"/>
                <w:u w:val="single"/>
              </w:rPr>
            </w:pPr>
            <w:r>
              <w:rPr>
                <w:u w:val="single"/>
              </w:rPr>
              <w:sym w:font="Symbol" w:char="F0B4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5,000</w:t>
            </w:r>
          </w:p>
        </w:tc>
      </w:tr>
      <w:tr w:rsidR="00B66D20">
        <w:trPr>
          <w:gridAfter w:val="1"/>
          <w:wAfter w:w="1530" w:type="dxa"/>
          <w:trHeight w:val="360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Total overhead assigned</w:t>
            </w:r>
            <w:r>
              <w:tab/>
            </w:r>
          </w:p>
        </w:tc>
        <w:tc>
          <w:tcPr>
            <w:tcW w:w="153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double"/>
              </w:rPr>
            </w:pPr>
            <w:r>
              <w:rPr>
                <w:u w:val="double"/>
              </w:rPr>
              <w:t>$1,737,200</w:t>
            </w:r>
          </w:p>
        </w:tc>
        <w:tc>
          <w:tcPr>
            <w:tcW w:w="1350" w:type="dxa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double"/>
              </w:rPr>
            </w:pPr>
            <w:r>
              <w:rPr>
                <w:u w:val="double"/>
              </w:rPr>
              <w:t>$1,526,800</w:t>
            </w:r>
          </w:p>
        </w:tc>
      </w:tr>
      <w:tr w:rsidR="00B66D20">
        <w:trPr>
          <w:gridAfter w:val="1"/>
          <w:wAfter w:w="1530" w:type="dxa"/>
          <w:cantSplit/>
          <w:trHeight w:val="360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center"/>
            </w:pPr>
            <w:r>
              <w:t xml:space="preserve">Total = </w:t>
            </w:r>
            <w:r>
              <w:rPr>
                <w:u w:val="double"/>
              </w:rPr>
              <w:t>$3,264,000</w:t>
            </w:r>
          </w:p>
        </w:tc>
      </w:tr>
    </w:tbl>
    <w:p w:rsidR="00B66D20" w:rsidRDefault="00B66D20" w:rsidP="00B66D20">
      <w:pPr>
        <w:pStyle w:val="Heading2"/>
      </w:pPr>
      <w:r>
        <w:rPr>
          <w:b w:val="0"/>
          <w:caps w:val="0"/>
        </w:rPr>
        <w:br w:type="page"/>
      </w:r>
      <w:r>
        <w:lastRenderedPageBreak/>
        <w:t>Problem 5-54 (Continued)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68"/>
        <w:gridCol w:w="108"/>
        <w:gridCol w:w="5544"/>
        <w:gridCol w:w="450"/>
        <w:gridCol w:w="1080"/>
        <w:gridCol w:w="108"/>
        <w:gridCol w:w="162"/>
        <w:gridCol w:w="108"/>
        <w:gridCol w:w="1422"/>
        <w:gridCol w:w="18"/>
      </w:tblGrid>
      <w:tr w:rsidR="00B66D20">
        <w:tc>
          <w:tcPr>
            <w:tcW w:w="576" w:type="dxa"/>
            <w:gridSpan w:val="2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  <w:r>
              <w:t>7.</w:t>
            </w:r>
          </w:p>
        </w:tc>
        <w:tc>
          <w:tcPr>
            <w:tcW w:w="6102" w:type="dxa"/>
            <w:gridSpan w:val="3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Cost distortion:</w:t>
            </w:r>
          </w:p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1350" w:type="dxa"/>
            <w:gridSpan w:val="3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  <w:tc>
          <w:tcPr>
            <w:tcW w:w="1548" w:type="dxa"/>
            <w:gridSpan w:val="3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</w:tr>
      <w:tr w:rsidR="00B66D20"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center"/>
            </w:pPr>
            <w:r>
              <w:t>Odds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center"/>
            </w:pPr>
            <w:r>
              <w:t>Ends</w:t>
            </w:r>
          </w:p>
        </w:tc>
      </w:tr>
      <w:tr w:rsidR="00B66D20">
        <w:trPr>
          <w:gridBefore w:val="1"/>
          <w:gridAfter w:val="1"/>
          <w:wBefore w:w="108" w:type="dxa"/>
          <w:wAfter w:w="18" w:type="dxa"/>
        </w:trPr>
        <w:tc>
          <w:tcPr>
            <w:tcW w:w="5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Traditional volume-based costing system:</w:t>
            </w:r>
          </w:p>
        </w:tc>
        <w:tc>
          <w:tcPr>
            <w:tcW w:w="16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  <w:tc>
          <w:tcPr>
            <w:tcW w:w="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</w:tr>
      <w:tr w:rsidR="00B66D20">
        <w:trPr>
          <w:gridBefore w:val="1"/>
          <w:gridAfter w:val="1"/>
          <w:wBefore w:w="108" w:type="dxa"/>
          <w:wAfter w:w="18" w:type="dxa"/>
        </w:trPr>
        <w:tc>
          <w:tcPr>
            <w:tcW w:w="5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ab/>
              <w:t>reported product cost</w:t>
            </w:r>
            <w:r>
              <w:tab/>
            </w:r>
          </w:p>
        </w:tc>
        <w:tc>
          <w:tcPr>
            <w:tcW w:w="16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     664.00</w:t>
            </w:r>
          </w:p>
        </w:tc>
        <w:tc>
          <w:tcPr>
            <w:tcW w:w="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$996.00</w:t>
            </w:r>
          </w:p>
        </w:tc>
      </w:tr>
      <w:tr w:rsidR="00B66D20">
        <w:trPr>
          <w:gridBefore w:val="1"/>
          <w:gridAfter w:val="1"/>
          <w:wBefore w:w="108" w:type="dxa"/>
          <w:wAfter w:w="18" w:type="dxa"/>
        </w:trPr>
        <w:tc>
          <w:tcPr>
            <w:tcW w:w="5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Activity-based costing system:</w:t>
            </w:r>
          </w:p>
        </w:tc>
        <w:tc>
          <w:tcPr>
            <w:tcW w:w="16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  <w:tc>
          <w:tcPr>
            <w:tcW w:w="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</w:tr>
      <w:tr w:rsidR="00B66D20">
        <w:trPr>
          <w:gridBefore w:val="1"/>
          <w:gridAfter w:val="1"/>
          <w:wBefore w:w="108" w:type="dxa"/>
          <w:wAfter w:w="18" w:type="dxa"/>
        </w:trPr>
        <w:tc>
          <w:tcPr>
            <w:tcW w:w="5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ab/>
              <w:t>reported product cost</w:t>
            </w:r>
            <w:r>
              <w:tab/>
            </w:r>
          </w:p>
        </w:tc>
        <w:tc>
          <w:tcPr>
            <w:tcW w:w="16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2,017.20</w:t>
            </w:r>
          </w:p>
        </w:tc>
        <w:tc>
          <w:tcPr>
            <w:tcW w:w="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rPr>
                <w:u w:val="single"/>
              </w:rPr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 xml:space="preserve"> 725.36</w:t>
            </w:r>
          </w:p>
        </w:tc>
      </w:tr>
      <w:tr w:rsidR="00B66D20">
        <w:trPr>
          <w:gridBefore w:val="1"/>
          <w:gridAfter w:val="1"/>
          <w:wBefore w:w="108" w:type="dxa"/>
          <w:wAfter w:w="18" w:type="dxa"/>
        </w:trPr>
        <w:tc>
          <w:tcPr>
            <w:tcW w:w="5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5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Amount of cost distortion per unit</w:t>
            </w:r>
            <w:r>
              <w:tab/>
            </w:r>
          </w:p>
        </w:tc>
        <w:tc>
          <w:tcPr>
            <w:tcW w:w="16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$(1,353.20</w:t>
            </w:r>
          </w:p>
        </w:tc>
        <w:tc>
          <w:tcPr>
            <w:tcW w:w="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rPr>
                <w:u w:val="double"/>
              </w:rPr>
            </w:pPr>
            <w:r>
              <w:t>)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  <w:r>
              <w:t>$270.64</w:t>
            </w:r>
          </w:p>
        </w:tc>
      </w:tr>
      <w:tr w:rsidR="00B66D20">
        <w:trPr>
          <w:cantSplit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1800" w:type="dxa"/>
            <w:gridSpan w:val="4"/>
          </w:tcPr>
          <w:p w:rsidR="00B66D20" w:rsidRDefault="00B66D20">
            <w:pPr>
              <w:pStyle w:val="Table"/>
              <w:jc w:val="center"/>
            </w:pPr>
          </w:p>
        </w:tc>
        <w:tc>
          <w:tcPr>
            <w:tcW w:w="1548" w:type="dxa"/>
            <w:gridSpan w:val="3"/>
          </w:tcPr>
          <w:p w:rsidR="00B66D20" w:rsidRDefault="00B66D20">
            <w:pPr>
              <w:pStyle w:val="Table"/>
              <w:jc w:val="center"/>
            </w:pPr>
          </w:p>
        </w:tc>
      </w:tr>
      <w:tr w:rsidR="00B66D20">
        <w:trPr>
          <w:cantSplit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20" w:rsidRDefault="00B66D20">
            <w:pPr>
              <w:pStyle w:val="Table"/>
              <w:jc w:val="center"/>
            </w:pPr>
            <w:r>
              <w:t>Traditional</w:t>
            </w:r>
            <w:r>
              <w:br/>
              <w:t>system</w:t>
            </w:r>
            <w:r>
              <w:br/>
            </w:r>
            <w:proofErr w:type="spellStart"/>
            <w:r>
              <w:t>undercosts</w:t>
            </w:r>
            <w:proofErr w:type="spellEnd"/>
            <w:r>
              <w:br/>
              <w:t>odds by</w:t>
            </w:r>
            <w:r>
              <w:br/>
              <w:t>$1,353.20</w:t>
            </w:r>
            <w:r>
              <w:br/>
              <w:t>per unit</w:t>
            </w:r>
          </w:p>
        </w:tc>
        <w:tc>
          <w:tcPr>
            <w:tcW w:w="270" w:type="dxa"/>
            <w:gridSpan w:val="2"/>
            <w:vMerge w:val="restart"/>
          </w:tcPr>
          <w:p w:rsidR="00B66D20" w:rsidRDefault="00B66D20">
            <w:pPr>
              <w:pStyle w:val="Table"/>
              <w:jc w:val="center"/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20" w:rsidRDefault="00B66D20">
            <w:pPr>
              <w:pStyle w:val="Table"/>
              <w:jc w:val="center"/>
            </w:pPr>
            <w:r>
              <w:t>Traditional</w:t>
            </w:r>
            <w:r>
              <w:br/>
              <w:t>system</w:t>
            </w:r>
            <w:r>
              <w:br/>
            </w:r>
            <w:proofErr w:type="spellStart"/>
            <w:r>
              <w:t>overcosts</w:t>
            </w:r>
            <w:proofErr w:type="spellEnd"/>
            <w:r>
              <w:br/>
              <w:t>ends by</w:t>
            </w:r>
            <w:r>
              <w:br/>
              <w:t>$270.64</w:t>
            </w:r>
            <w:r>
              <w:br/>
              <w:t>per unit</w:t>
            </w:r>
          </w:p>
        </w:tc>
      </w:tr>
      <w:tr w:rsidR="00B66D20">
        <w:trPr>
          <w:cantSplit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6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540" w:type="dxa"/>
            <w:gridSpan w:val="2"/>
            <w:vMerge/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</w:tr>
      <w:tr w:rsidR="00B66D20">
        <w:trPr>
          <w:cantSplit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6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540" w:type="dxa"/>
            <w:gridSpan w:val="2"/>
            <w:vMerge/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</w:tr>
      <w:tr w:rsidR="00B66D20">
        <w:trPr>
          <w:cantSplit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6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540" w:type="dxa"/>
            <w:gridSpan w:val="2"/>
            <w:vMerge/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</w:tr>
      <w:tr w:rsidR="00B66D20">
        <w:trPr>
          <w:cantSplit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6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540" w:type="dxa"/>
            <w:gridSpan w:val="2"/>
            <w:vMerge/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</w:tr>
      <w:tr w:rsidR="00B66D20">
        <w:trPr>
          <w:cantSplit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6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540" w:type="dxa"/>
            <w:gridSpan w:val="2"/>
            <w:vMerge/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20" w:rsidRDefault="00B66D20">
            <w:pPr>
              <w:rPr>
                <w:rFonts w:ascii="Arial Narrow" w:hAnsi="Arial Narrow"/>
                <w:b/>
                <w:sz w:val="26"/>
              </w:rPr>
            </w:pPr>
          </w:p>
        </w:tc>
      </w:tr>
      <w:tr w:rsidR="00B66D20"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1800" w:type="dxa"/>
            <w:gridSpan w:val="4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  <w:tc>
          <w:tcPr>
            <w:tcW w:w="1548" w:type="dxa"/>
            <w:gridSpan w:val="3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</w:tr>
      <w:tr w:rsidR="00B66D20"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Production volume</w:t>
            </w:r>
            <w:r>
              <w:tab/>
            </w:r>
          </w:p>
        </w:tc>
        <w:tc>
          <w:tcPr>
            <w:tcW w:w="1530" w:type="dxa"/>
            <w:gridSpan w:val="2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sym w:font="Symbol" w:char="F0B4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1,000</w:t>
            </w:r>
          </w:p>
        </w:tc>
        <w:tc>
          <w:tcPr>
            <w:tcW w:w="270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</w:p>
        </w:tc>
        <w:tc>
          <w:tcPr>
            <w:tcW w:w="1548" w:type="dxa"/>
            <w:gridSpan w:val="3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sym w:font="Symbol" w:char="F0B4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5,000</w:t>
            </w:r>
          </w:p>
        </w:tc>
      </w:tr>
      <w:tr w:rsidR="00B66D20"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>Total amount of cost distortion for entire</w:t>
            </w:r>
          </w:p>
        </w:tc>
        <w:tc>
          <w:tcPr>
            <w:tcW w:w="1530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  <w:tc>
          <w:tcPr>
            <w:tcW w:w="270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  <w:tc>
          <w:tcPr>
            <w:tcW w:w="1548" w:type="dxa"/>
            <w:gridSpan w:val="3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</w:pPr>
          </w:p>
        </w:tc>
      </w:tr>
      <w:tr w:rsidR="00B66D20"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  <w:r>
              <w:tab/>
              <w:t>product line</w:t>
            </w:r>
            <w:r>
              <w:tab/>
            </w:r>
          </w:p>
        </w:tc>
        <w:tc>
          <w:tcPr>
            <w:tcW w:w="1530" w:type="dxa"/>
            <w:gridSpan w:val="2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double"/>
              </w:rPr>
            </w:pPr>
            <w:r>
              <w:rPr>
                <w:u w:val="double"/>
              </w:rPr>
              <w:t>$(1,353,200)</w:t>
            </w:r>
          </w:p>
        </w:tc>
        <w:tc>
          <w:tcPr>
            <w:tcW w:w="270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double"/>
              </w:rPr>
            </w:pPr>
          </w:p>
        </w:tc>
        <w:tc>
          <w:tcPr>
            <w:tcW w:w="1548" w:type="dxa"/>
            <w:gridSpan w:val="3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right"/>
              <w:rPr>
                <w:u w:val="double"/>
              </w:rPr>
            </w:pPr>
            <w:r>
              <w:rPr>
                <w:u w:val="double"/>
              </w:rPr>
              <w:t>$1,353,200</w:t>
            </w:r>
          </w:p>
        </w:tc>
      </w:tr>
      <w:tr w:rsidR="00B66D20">
        <w:trPr>
          <w:cantSplit/>
          <w:trHeight w:val="252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3348" w:type="dxa"/>
            <w:gridSpan w:val="7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center"/>
            </w:pPr>
          </w:p>
        </w:tc>
      </w:tr>
      <w:tr w:rsidR="00B66D20">
        <w:trPr>
          <w:cantSplit/>
          <w:trHeight w:val="522"/>
        </w:trPr>
        <w:tc>
          <w:tcPr>
            <w:tcW w:w="576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5652" w:type="dxa"/>
            <w:gridSpan w:val="2"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3348" w:type="dxa"/>
            <w:gridSpan w:val="7"/>
            <w:hideMark/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center"/>
            </w:pPr>
            <w:r>
              <w:t xml:space="preserve">Sum of these two </w:t>
            </w:r>
            <w:r>
              <w:br/>
              <w:t>amounts is zero.</w:t>
            </w:r>
          </w:p>
        </w:tc>
      </w:tr>
      <w:tr w:rsidR="00B66D20">
        <w:trPr>
          <w:cantSplit/>
        </w:trPr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18"/>
                <w:tab w:val="right" w:leader="dot" w:pos="5731"/>
              </w:tabs>
            </w:pP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D20" w:rsidRDefault="00B66D20">
            <w:pPr>
              <w:pStyle w:val="Table"/>
              <w:tabs>
                <w:tab w:val="clear" w:pos="288"/>
                <w:tab w:val="clear" w:pos="576"/>
                <w:tab w:val="left" w:pos="720"/>
              </w:tabs>
              <w:jc w:val="center"/>
            </w:pPr>
          </w:p>
        </w:tc>
      </w:tr>
    </w:tbl>
    <w:p w:rsidR="00892C97" w:rsidRDefault="00892C97"/>
    <w:p w:rsidR="00892C97" w:rsidRDefault="00892C97" w:rsidP="00892C97">
      <w:pPr>
        <w:pStyle w:val="BodyText"/>
      </w:pPr>
      <w:r>
        <w:br w:type="page"/>
      </w:r>
    </w:p>
    <w:p w:rsidR="00892C97" w:rsidRDefault="00892C97" w:rsidP="00892C97">
      <w:pPr>
        <w:pStyle w:val="Heading2"/>
      </w:pPr>
      <w:r>
        <w:lastRenderedPageBreak/>
        <w:t xml:space="preserve">Problem 7-34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050"/>
        <w:gridCol w:w="4968"/>
      </w:tblGrid>
      <w:tr w:rsidR="00892C97" w:rsidTr="00262400">
        <w:tc>
          <w:tcPr>
            <w:tcW w:w="558" w:type="dxa"/>
            <w:hideMark/>
          </w:tcPr>
          <w:p w:rsidR="00892C97" w:rsidRDefault="00892C97" w:rsidP="00262400">
            <w:pPr>
              <w:pStyle w:val="Table"/>
              <w:spacing w:line="276" w:lineRule="auto"/>
            </w:pPr>
            <w:r>
              <w:t>1.</w:t>
            </w:r>
          </w:p>
        </w:tc>
        <w:tc>
          <w:tcPr>
            <w:tcW w:w="9018" w:type="dxa"/>
            <w:gridSpan w:val="2"/>
            <w:hideMark/>
          </w:tcPr>
          <w:p w:rsidR="00892C97" w:rsidRDefault="00892C97" w:rsidP="00262400">
            <w:pPr>
              <w:pStyle w:val="Table"/>
              <w:spacing w:line="276" w:lineRule="auto"/>
            </w:pPr>
            <w:r>
              <w:t>Break-even point in sales dollars, using the contribution-margin ratio:</w:t>
            </w:r>
          </w:p>
        </w:tc>
      </w:tr>
      <w:tr w:rsidR="00892C97" w:rsidTr="00262400">
        <w:tc>
          <w:tcPr>
            <w:tcW w:w="558" w:type="dxa"/>
          </w:tcPr>
          <w:p w:rsidR="00892C97" w:rsidRDefault="00892C97" w:rsidP="00262400">
            <w:pPr>
              <w:pStyle w:val="Table"/>
              <w:spacing w:before="120" w:line="276" w:lineRule="auto"/>
            </w:pPr>
          </w:p>
        </w:tc>
        <w:tc>
          <w:tcPr>
            <w:tcW w:w="9018" w:type="dxa"/>
            <w:gridSpan w:val="2"/>
            <w:hideMark/>
          </w:tcPr>
          <w:p w:rsidR="00892C97" w:rsidRDefault="00892C97" w:rsidP="00262400">
            <w:pPr>
              <w:pStyle w:val="Table"/>
              <w:spacing w:before="120" w:line="276" w:lineRule="auto"/>
            </w:pPr>
            <w:r>
              <w:rPr>
                <w:position w:val="-96"/>
              </w:rPr>
              <w:object w:dxaOrig="5355" w:dyaOrig="2085">
                <v:shape id="_x0000_i1037" type="#_x0000_t75" style="width:267.6pt;height:104.4pt" o:ole="" fillcolor="window">
                  <v:imagedata r:id="rId29" o:title=""/>
                </v:shape>
                <o:OLEObject Type="Embed" ProgID="Equation.3" ShapeID="_x0000_i1037" DrawAspect="Content" ObjectID="_1517029765" r:id="rId30"/>
              </w:object>
            </w:r>
          </w:p>
        </w:tc>
      </w:tr>
      <w:tr w:rsidR="00892C97" w:rsidTr="00262400">
        <w:tc>
          <w:tcPr>
            <w:tcW w:w="558" w:type="dxa"/>
          </w:tcPr>
          <w:p w:rsidR="00892C97" w:rsidRDefault="00892C97" w:rsidP="00262400">
            <w:pPr>
              <w:pStyle w:val="Table"/>
              <w:spacing w:line="276" w:lineRule="auto"/>
            </w:pPr>
          </w:p>
        </w:tc>
        <w:tc>
          <w:tcPr>
            <w:tcW w:w="9018" w:type="dxa"/>
            <w:gridSpan w:val="2"/>
          </w:tcPr>
          <w:p w:rsidR="00892C97" w:rsidRDefault="00892C97" w:rsidP="00262400">
            <w:pPr>
              <w:pStyle w:val="Table"/>
              <w:spacing w:line="276" w:lineRule="auto"/>
            </w:pPr>
          </w:p>
        </w:tc>
      </w:tr>
      <w:tr w:rsidR="00892C97" w:rsidTr="00262400">
        <w:tc>
          <w:tcPr>
            <w:tcW w:w="558" w:type="dxa"/>
            <w:hideMark/>
          </w:tcPr>
          <w:p w:rsidR="00892C97" w:rsidRDefault="00892C97" w:rsidP="00262400">
            <w:pPr>
              <w:pStyle w:val="Table"/>
              <w:spacing w:line="276" w:lineRule="auto"/>
            </w:pPr>
            <w:r>
              <w:t>2.</w:t>
            </w:r>
          </w:p>
        </w:tc>
        <w:tc>
          <w:tcPr>
            <w:tcW w:w="9018" w:type="dxa"/>
            <w:gridSpan w:val="2"/>
            <w:hideMark/>
          </w:tcPr>
          <w:p w:rsidR="00892C97" w:rsidRDefault="00892C97" w:rsidP="00262400">
            <w:pPr>
              <w:pStyle w:val="Table"/>
              <w:spacing w:line="276" w:lineRule="auto"/>
            </w:pPr>
            <w:r>
              <w:t>Target net income, using contribution-margin approach:</w:t>
            </w:r>
          </w:p>
        </w:tc>
      </w:tr>
      <w:tr w:rsidR="00892C97" w:rsidTr="00262400">
        <w:tc>
          <w:tcPr>
            <w:tcW w:w="558" w:type="dxa"/>
          </w:tcPr>
          <w:p w:rsidR="00892C97" w:rsidRDefault="00892C97" w:rsidP="00262400">
            <w:pPr>
              <w:pStyle w:val="Table"/>
              <w:spacing w:before="120" w:line="276" w:lineRule="auto"/>
            </w:pPr>
          </w:p>
        </w:tc>
        <w:tc>
          <w:tcPr>
            <w:tcW w:w="9018" w:type="dxa"/>
            <w:gridSpan w:val="2"/>
            <w:hideMark/>
          </w:tcPr>
          <w:p w:rsidR="00892C97" w:rsidRDefault="00892C97" w:rsidP="00262400">
            <w:pPr>
              <w:pStyle w:val="Table"/>
              <w:spacing w:before="120" w:line="276" w:lineRule="auto"/>
            </w:pPr>
            <w:r>
              <w:rPr>
                <w:position w:val="-62"/>
              </w:rPr>
              <w:object w:dxaOrig="8520" w:dyaOrig="1740">
                <v:shape id="_x0000_i1038" type="#_x0000_t75" style="width:426pt;height:87pt" o:ole="" fillcolor="window">
                  <v:imagedata r:id="rId31" o:title=""/>
                </v:shape>
                <o:OLEObject Type="Embed" ProgID="Equation.3" ShapeID="_x0000_i1038" DrawAspect="Content" ObjectID="_1517029766" r:id="rId32"/>
              </w:object>
            </w:r>
          </w:p>
        </w:tc>
      </w:tr>
      <w:tr w:rsidR="00892C97" w:rsidTr="00262400">
        <w:tc>
          <w:tcPr>
            <w:tcW w:w="558" w:type="dxa"/>
          </w:tcPr>
          <w:p w:rsidR="00892C97" w:rsidRDefault="00892C97" w:rsidP="00262400">
            <w:pPr>
              <w:pStyle w:val="Table"/>
              <w:spacing w:line="276" w:lineRule="auto"/>
            </w:pPr>
          </w:p>
        </w:tc>
        <w:tc>
          <w:tcPr>
            <w:tcW w:w="4050" w:type="dxa"/>
          </w:tcPr>
          <w:p w:rsidR="00892C97" w:rsidRDefault="00892C97" w:rsidP="00262400">
            <w:pPr>
              <w:pStyle w:val="Table"/>
              <w:spacing w:line="276" w:lineRule="auto"/>
            </w:pPr>
          </w:p>
        </w:tc>
        <w:tc>
          <w:tcPr>
            <w:tcW w:w="4968" w:type="dxa"/>
          </w:tcPr>
          <w:p w:rsidR="00892C97" w:rsidRDefault="00892C97" w:rsidP="00262400">
            <w:pPr>
              <w:pStyle w:val="Table"/>
              <w:spacing w:line="276" w:lineRule="auto"/>
            </w:pPr>
          </w:p>
        </w:tc>
      </w:tr>
    </w:tbl>
    <w:p w:rsidR="00892C97" w:rsidRDefault="00892C97" w:rsidP="00892C97">
      <w:pPr>
        <w:pStyle w:val="Heading2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050"/>
        <w:gridCol w:w="4968"/>
      </w:tblGrid>
      <w:tr w:rsidR="00892C97" w:rsidTr="00262400">
        <w:tc>
          <w:tcPr>
            <w:tcW w:w="558" w:type="dxa"/>
            <w:hideMark/>
          </w:tcPr>
          <w:p w:rsidR="00892C97" w:rsidRDefault="00892C97" w:rsidP="00262400">
            <w:pPr>
              <w:pStyle w:val="Table"/>
              <w:spacing w:line="276" w:lineRule="auto"/>
            </w:pPr>
            <w:r>
              <w:t>3.</w:t>
            </w:r>
          </w:p>
        </w:tc>
        <w:tc>
          <w:tcPr>
            <w:tcW w:w="4050" w:type="dxa"/>
            <w:hideMark/>
          </w:tcPr>
          <w:p w:rsidR="00892C97" w:rsidRDefault="00892C97" w:rsidP="00262400">
            <w:pPr>
              <w:pStyle w:val="Table"/>
              <w:spacing w:line="276" w:lineRule="auto"/>
            </w:pPr>
            <w:r>
              <w:t>New unit variable manufacturing cost</w:t>
            </w:r>
          </w:p>
        </w:tc>
        <w:tc>
          <w:tcPr>
            <w:tcW w:w="4968" w:type="dxa"/>
            <w:hideMark/>
          </w:tcPr>
          <w:p w:rsidR="00892C97" w:rsidRDefault="00892C97" w:rsidP="00262400">
            <w:pPr>
              <w:pStyle w:val="Table"/>
              <w:spacing w:line="276" w:lineRule="auto"/>
              <w:rPr>
                <w:b w:val="0"/>
              </w:rPr>
            </w:pPr>
            <w:r>
              <w:t xml:space="preserve">= $12 </w:t>
            </w:r>
            <w:r>
              <w:sym w:font="Symbol" w:char="F0B4"/>
            </w:r>
            <w:r>
              <w:t xml:space="preserve"> 110%</w:t>
            </w:r>
          </w:p>
        </w:tc>
      </w:tr>
      <w:tr w:rsidR="00892C97" w:rsidTr="00262400">
        <w:tc>
          <w:tcPr>
            <w:tcW w:w="558" w:type="dxa"/>
          </w:tcPr>
          <w:p w:rsidR="00892C97" w:rsidRDefault="00892C97" w:rsidP="00262400">
            <w:pPr>
              <w:pStyle w:val="Table"/>
              <w:spacing w:before="120" w:after="120" w:line="276" w:lineRule="auto"/>
            </w:pPr>
          </w:p>
        </w:tc>
        <w:tc>
          <w:tcPr>
            <w:tcW w:w="4050" w:type="dxa"/>
          </w:tcPr>
          <w:p w:rsidR="00892C97" w:rsidRDefault="00892C97" w:rsidP="00262400">
            <w:pPr>
              <w:pStyle w:val="Table"/>
              <w:spacing w:before="120" w:after="120" w:line="276" w:lineRule="auto"/>
            </w:pPr>
          </w:p>
        </w:tc>
        <w:tc>
          <w:tcPr>
            <w:tcW w:w="4968" w:type="dxa"/>
            <w:hideMark/>
          </w:tcPr>
          <w:p w:rsidR="00892C97" w:rsidRDefault="00892C97" w:rsidP="00262400">
            <w:pPr>
              <w:pStyle w:val="Table"/>
              <w:spacing w:before="120" w:after="120" w:line="276" w:lineRule="auto"/>
            </w:pPr>
            <w:r>
              <w:t>= $13.20</w:t>
            </w:r>
          </w:p>
        </w:tc>
      </w:tr>
      <w:tr w:rsidR="00892C97" w:rsidTr="00262400">
        <w:tc>
          <w:tcPr>
            <w:tcW w:w="558" w:type="dxa"/>
          </w:tcPr>
          <w:p w:rsidR="00892C97" w:rsidRDefault="00892C97" w:rsidP="00262400">
            <w:pPr>
              <w:pStyle w:val="Table"/>
              <w:spacing w:after="120" w:line="276" w:lineRule="auto"/>
            </w:pPr>
          </w:p>
        </w:tc>
        <w:tc>
          <w:tcPr>
            <w:tcW w:w="4050" w:type="dxa"/>
            <w:hideMark/>
          </w:tcPr>
          <w:p w:rsidR="00892C97" w:rsidRDefault="00892C97" w:rsidP="00262400">
            <w:pPr>
              <w:pStyle w:val="Table"/>
              <w:spacing w:after="120" w:line="276" w:lineRule="auto"/>
            </w:pPr>
            <w:r>
              <w:t>Break-even point in sales dollars:</w:t>
            </w:r>
          </w:p>
        </w:tc>
        <w:tc>
          <w:tcPr>
            <w:tcW w:w="4968" w:type="dxa"/>
          </w:tcPr>
          <w:p w:rsidR="00892C97" w:rsidRDefault="00892C97" w:rsidP="00262400">
            <w:pPr>
              <w:pStyle w:val="Table"/>
              <w:spacing w:after="120" w:line="276" w:lineRule="auto"/>
            </w:pPr>
          </w:p>
        </w:tc>
      </w:tr>
      <w:tr w:rsidR="00892C97" w:rsidTr="00262400">
        <w:trPr>
          <w:cantSplit/>
        </w:trPr>
        <w:tc>
          <w:tcPr>
            <w:tcW w:w="558" w:type="dxa"/>
          </w:tcPr>
          <w:p w:rsidR="00892C97" w:rsidRDefault="00892C97" w:rsidP="00262400">
            <w:pPr>
              <w:pStyle w:val="Table"/>
              <w:spacing w:line="276" w:lineRule="auto"/>
            </w:pPr>
          </w:p>
        </w:tc>
        <w:tc>
          <w:tcPr>
            <w:tcW w:w="9018" w:type="dxa"/>
            <w:gridSpan w:val="2"/>
            <w:hideMark/>
          </w:tcPr>
          <w:p w:rsidR="00892C97" w:rsidRDefault="00892C97" w:rsidP="00262400">
            <w:pPr>
              <w:pStyle w:val="Table"/>
              <w:spacing w:line="276" w:lineRule="auto"/>
              <w:jc w:val="center"/>
            </w:pPr>
            <w:r>
              <w:rPr>
                <w:position w:val="-60"/>
              </w:rPr>
              <w:object w:dxaOrig="5340" w:dyaOrig="1320">
                <v:shape id="_x0000_i1039" type="#_x0000_t75" style="width:267pt;height:66pt" o:ole="" fillcolor="window">
                  <v:imagedata r:id="rId33" o:title=""/>
                </v:shape>
                <o:OLEObject Type="Embed" ProgID="Equation.3" ShapeID="_x0000_i1039" DrawAspect="Content" ObjectID="_1517029767" r:id="rId34"/>
              </w:object>
            </w:r>
          </w:p>
        </w:tc>
      </w:tr>
    </w:tbl>
    <w:p w:rsidR="00892C97" w:rsidRDefault="00892C97" w:rsidP="00892C97">
      <w:pPr>
        <w:pStyle w:val="Heading2"/>
      </w:pPr>
    </w:p>
    <w:p w:rsidR="00892C97" w:rsidRDefault="00892C97" w:rsidP="00892C97">
      <w:pPr>
        <w:pStyle w:val="Heading2"/>
      </w:pPr>
      <w:r>
        <w:br w:type="page"/>
      </w:r>
      <w:r>
        <w:lastRenderedPageBreak/>
        <w:t>Problem 7-34 (continued)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892C97" w:rsidTr="00262400">
        <w:trPr>
          <w:cantSplit/>
        </w:trPr>
        <w:tc>
          <w:tcPr>
            <w:tcW w:w="558" w:type="dxa"/>
            <w:hideMark/>
          </w:tcPr>
          <w:p w:rsidR="00892C97" w:rsidRDefault="00892C97" w:rsidP="00262400">
            <w:pPr>
              <w:pStyle w:val="Table"/>
              <w:spacing w:line="276" w:lineRule="auto"/>
            </w:pPr>
            <w:r>
              <w:t>4.</w:t>
            </w:r>
          </w:p>
        </w:tc>
        <w:tc>
          <w:tcPr>
            <w:tcW w:w="9018" w:type="dxa"/>
            <w:hideMark/>
          </w:tcPr>
          <w:p w:rsidR="00892C97" w:rsidRDefault="00892C97" w:rsidP="00262400">
            <w:pPr>
              <w:pStyle w:val="Table"/>
              <w:spacing w:after="120" w:line="276" w:lineRule="auto"/>
            </w:pPr>
            <w:r>
              <w:t xml:space="preserve">Let </w:t>
            </w:r>
            <w:r>
              <w:rPr>
                <w:i/>
              </w:rPr>
              <w:t>P</w:t>
            </w:r>
            <w:r>
              <w:t xml:space="preserve"> denote the selling price that will yield the same contribution-margin ratio:</w:t>
            </w:r>
          </w:p>
        </w:tc>
      </w:tr>
      <w:tr w:rsidR="00892C97" w:rsidTr="00262400">
        <w:trPr>
          <w:cantSplit/>
        </w:trPr>
        <w:tc>
          <w:tcPr>
            <w:tcW w:w="558" w:type="dxa"/>
          </w:tcPr>
          <w:p w:rsidR="00892C97" w:rsidRDefault="00892C97" w:rsidP="00262400">
            <w:pPr>
              <w:pStyle w:val="Table"/>
              <w:spacing w:line="276" w:lineRule="auto"/>
            </w:pPr>
          </w:p>
        </w:tc>
        <w:tc>
          <w:tcPr>
            <w:tcW w:w="9018" w:type="dxa"/>
            <w:hideMark/>
          </w:tcPr>
          <w:p w:rsidR="00892C97" w:rsidRDefault="00892C97" w:rsidP="00262400">
            <w:pPr>
              <w:pStyle w:val="Table"/>
              <w:spacing w:line="276" w:lineRule="auto"/>
              <w:jc w:val="center"/>
            </w:pPr>
            <w:r>
              <w:rPr>
                <w:position w:val="-130"/>
              </w:rPr>
              <w:object w:dxaOrig="4275" w:dyaOrig="2715">
                <v:shape id="_x0000_i1040" type="#_x0000_t75" style="width:213.6pt;height:135.6pt" o:ole="" fillcolor="window">
                  <v:imagedata r:id="rId35" o:title=""/>
                </v:shape>
                <o:OLEObject Type="Embed" ProgID="Equation.3" ShapeID="_x0000_i1040" DrawAspect="Content" ObjectID="_1517029768" r:id="rId36"/>
              </w:object>
            </w:r>
          </w:p>
        </w:tc>
      </w:tr>
      <w:tr w:rsidR="00892C97" w:rsidTr="00262400">
        <w:trPr>
          <w:cantSplit/>
          <w:trHeight w:hRule="exact" w:val="120"/>
        </w:trPr>
        <w:tc>
          <w:tcPr>
            <w:tcW w:w="558" w:type="dxa"/>
          </w:tcPr>
          <w:p w:rsidR="00892C97" w:rsidRDefault="00892C97" w:rsidP="00262400">
            <w:pPr>
              <w:pStyle w:val="Table"/>
              <w:spacing w:line="276" w:lineRule="auto"/>
              <w:rPr>
                <w:sz w:val="24"/>
              </w:rPr>
            </w:pPr>
          </w:p>
        </w:tc>
        <w:tc>
          <w:tcPr>
            <w:tcW w:w="9018" w:type="dxa"/>
          </w:tcPr>
          <w:p w:rsidR="00892C97" w:rsidRDefault="00892C97" w:rsidP="00262400">
            <w:pPr>
              <w:pStyle w:val="Table"/>
              <w:spacing w:line="276" w:lineRule="auto"/>
              <w:rPr>
                <w:sz w:val="24"/>
              </w:rPr>
            </w:pPr>
          </w:p>
        </w:tc>
      </w:tr>
      <w:tr w:rsidR="00892C97" w:rsidTr="00262400">
        <w:trPr>
          <w:cantSplit/>
        </w:trPr>
        <w:tc>
          <w:tcPr>
            <w:tcW w:w="558" w:type="dxa"/>
          </w:tcPr>
          <w:p w:rsidR="00892C97" w:rsidRDefault="00892C97" w:rsidP="00262400">
            <w:pPr>
              <w:pStyle w:val="Table"/>
              <w:spacing w:line="276" w:lineRule="auto"/>
            </w:pPr>
          </w:p>
        </w:tc>
        <w:tc>
          <w:tcPr>
            <w:tcW w:w="9018" w:type="dxa"/>
            <w:hideMark/>
          </w:tcPr>
          <w:p w:rsidR="00892C97" w:rsidRDefault="00892C97" w:rsidP="00262400">
            <w:pPr>
              <w:pStyle w:val="Table"/>
              <w:spacing w:after="120" w:line="276" w:lineRule="auto"/>
            </w:pPr>
            <w:r>
              <w:t>Check: New contribution-margin ratio is:</w:t>
            </w:r>
          </w:p>
        </w:tc>
      </w:tr>
      <w:tr w:rsidR="00892C97" w:rsidTr="00262400">
        <w:trPr>
          <w:cantSplit/>
        </w:trPr>
        <w:tc>
          <w:tcPr>
            <w:tcW w:w="558" w:type="dxa"/>
          </w:tcPr>
          <w:p w:rsidR="00892C97" w:rsidRDefault="00892C97" w:rsidP="00262400">
            <w:pPr>
              <w:pStyle w:val="Table"/>
              <w:spacing w:line="276" w:lineRule="auto"/>
            </w:pPr>
          </w:p>
        </w:tc>
        <w:tc>
          <w:tcPr>
            <w:tcW w:w="9018" w:type="dxa"/>
            <w:hideMark/>
          </w:tcPr>
          <w:p w:rsidR="00892C97" w:rsidRDefault="00892C97" w:rsidP="00262400">
            <w:pPr>
              <w:pStyle w:val="Table"/>
              <w:spacing w:line="276" w:lineRule="auto"/>
              <w:jc w:val="center"/>
            </w:pPr>
            <w:r>
              <w:rPr>
                <w:position w:val="-26"/>
              </w:rPr>
              <w:object w:dxaOrig="2640" w:dyaOrig="645">
                <v:shape id="_x0000_i1041" type="#_x0000_t75" style="width:132pt;height:32.4pt" o:ole="" fillcolor="window">
                  <v:imagedata r:id="rId37" o:title=""/>
                </v:shape>
                <o:OLEObject Type="Embed" ProgID="Equation.3" ShapeID="_x0000_i1041" DrawAspect="Content" ObjectID="_1517029769" r:id="rId38"/>
              </w:object>
            </w:r>
          </w:p>
        </w:tc>
      </w:tr>
    </w:tbl>
    <w:p w:rsidR="00892C97" w:rsidRDefault="00892C97" w:rsidP="00892C97"/>
    <w:p w:rsidR="003C10F7" w:rsidRDefault="003C10F7"/>
    <w:sectPr w:rsidR="003C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B272D"/>
    <w:multiLevelType w:val="multilevel"/>
    <w:tmpl w:val="CB24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20"/>
    <w:rsid w:val="003C10F7"/>
    <w:rsid w:val="004D7B02"/>
    <w:rsid w:val="00601848"/>
    <w:rsid w:val="00892C97"/>
    <w:rsid w:val="00AE2E60"/>
    <w:rsid w:val="00B66D20"/>
    <w:rsid w:val="00E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202CA17-006D-47C2-89C7-BAA2222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2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BodyText"/>
    <w:link w:val="Heading1Char"/>
    <w:autoRedefine/>
    <w:qFormat/>
    <w:rsid w:val="00B66D20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6"/>
    </w:rPr>
  </w:style>
  <w:style w:type="paragraph" w:styleId="Heading2">
    <w:name w:val="heading 2"/>
    <w:next w:val="BodyText"/>
    <w:link w:val="Heading2Char"/>
    <w:semiHidden/>
    <w:unhideWhenUsed/>
    <w:qFormat/>
    <w:rsid w:val="00B66D20"/>
    <w:pPr>
      <w:keepNext/>
      <w:tabs>
        <w:tab w:val="left" w:pos="360"/>
      </w:tabs>
      <w:spacing w:before="60" w:after="240" w:line="240" w:lineRule="auto"/>
      <w:outlineLvl w:val="1"/>
    </w:pPr>
    <w:rPr>
      <w:rFonts w:ascii="Arial Narrow" w:eastAsia="Times New Roman" w:hAnsi="Arial Narrow" w:cs="Times New Roman"/>
      <w:b/>
      <w:cap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D20"/>
    <w:rPr>
      <w:rFonts w:ascii="Arial" w:eastAsia="Times New Roman" w:hAnsi="Arial" w:cs="Times New Roman"/>
      <w:b/>
      <w:caps/>
      <w:kern w:val="28"/>
      <w:sz w:val="28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66D20"/>
    <w:rPr>
      <w:rFonts w:ascii="Arial Narrow" w:eastAsia="Times New Roman" w:hAnsi="Arial Narrow" w:cs="Times New Roman"/>
      <w:b/>
      <w:caps/>
      <w:sz w:val="26"/>
      <w:szCs w:val="20"/>
    </w:rPr>
  </w:style>
  <w:style w:type="paragraph" w:customStyle="1" w:styleId="Table">
    <w:name w:val="Table"/>
    <w:aliases w:val="Financial"/>
    <w:rsid w:val="00B66D20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TableFinancial">
    <w:name w:val="Table Financial"/>
    <w:rsid w:val="00B66D20"/>
    <w:pPr>
      <w:keepLines/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66D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6D2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Hammond</dc:creator>
  <cp:lastModifiedBy>Hassell, John M.</cp:lastModifiedBy>
  <cp:revision>2</cp:revision>
  <dcterms:created xsi:type="dcterms:W3CDTF">2016-02-15T13:21:00Z</dcterms:created>
  <dcterms:modified xsi:type="dcterms:W3CDTF">2016-02-15T13:21:00Z</dcterms:modified>
</cp:coreProperties>
</file>