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568BB" w14:textId="77777777" w:rsidR="00845C0D" w:rsidRDefault="00845C0D" w:rsidP="003B57E3">
      <w:pPr>
        <w:pStyle w:val="Style1"/>
        <w:jc w:val="center"/>
        <w:rPr>
          <w:b/>
          <w:sz w:val="28"/>
          <w:szCs w:val="28"/>
        </w:rPr>
      </w:pPr>
      <w:r>
        <w:rPr>
          <w:b/>
          <w:sz w:val="28"/>
          <w:szCs w:val="28"/>
        </w:rPr>
        <w:t>Slide Show Notes</w:t>
      </w:r>
    </w:p>
    <w:p w14:paraId="637D837B" w14:textId="55C4B0F0" w:rsidR="001F5DD6" w:rsidRPr="00F67E30" w:rsidRDefault="00C31FBB" w:rsidP="003B57E3">
      <w:pPr>
        <w:pStyle w:val="Style1"/>
        <w:jc w:val="center"/>
        <w:rPr>
          <w:b/>
          <w:sz w:val="28"/>
          <w:szCs w:val="28"/>
        </w:rPr>
      </w:pPr>
      <w:r>
        <w:rPr>
          <w:b/>
          <w:sz w:val="28"/>
          <w:szCs w:val="28"/>
        </w:rPr>
        <w:t>Financial Crises</w:t>
      </w:r>
    </w:p>
    <w:p w14:paraId="5398DF06" w14:textId="77777777" w:rsidR="00A82AD5" w:rsidRPr="00F67E30" w:rsidRDefault="00A82AD5" w:rsidP="003B57E3">
      <w:pPr>
        <w:pStyle w:val="Style1"/>
      </w:pPr>
    </w:p>
    <w:p w14:paraId="77FA27C7" w14:textId="77777777" w:rsidR="00791F82" w:rsidRDefault="00791F82" w:rsidP="003B57E3">
      <w:pPr>
        <w:pStyle w:val="Style1"/>
        <w:numPr>
          <w:ilvl w:val="0"/>
          <w:numId w:val="22"/>
        </w:numPr>
      </w:pPr>
    </w:p>
    <w:p w14:paraId="50F0D8BE" w14:textId="77777777" w:rsidR="00791F82" w:rsidRDefault="00791F82" w:rsidP="003B57E3">
      <w:pPr>
        <w:pStyle w:val="Style1"/>
      </w:pPr>
    </w:p>
    <w:p w14:paraId="6A82E8E5" w14:textId="14CD03B7" w:rsidR="00F3670B" w:rsidRDefault="00F3670B" w:rsidP="003B57E3">
      <w:pPr>
        <w:pStyle w:val="Style1"/>
      </w:pPr>
      <w:r>
        <w:t>This course has made two detours, so far.</w:t>
      </w:r>
    </w:p>
    <w:p w14:paraId="18144665" w14:textId="5734086A" w:rsidR="00F3670B" w:rsidRDefault="00F3670B" w:rsidP="003B57E3">
      <w:pPr>
        <w:pStyle w:val="ListParagraph"/>
        <w:widowControl/>
        <w:numPr>
          <w:ilvl w:val="0"/>
          <w:numId w:val="13"/>
        </w:numPr>
        <w:tabs>
          <w:tab w:val="left" w:pos="1051"/>
        </w:tabs>
      </w:pPr>
      <w:r>
        <w:t>The first was for Comparative Advantage.  Its purpose was to help you get to know the mentality behind the GATT and the WTO.</w:t>
      </w:r>
    </w:p>
    <w:p w14:paraId="0945103A" w14:textId="20C780E3" w:rsidR="00F3670B" w:rsidRDefault="00F3670B" w:rsidP="003B57E3">
      <w:pPr>
        <w:pStyle w:val="ListParagraph"/>
        <w:widowControl/>
        <w:numPr>
          <w:ilvl w:val="0"/>
          <w:numId w:val="13"/>
        </w:numPr>
        <w:tabs>
          <w:tab w:val="left" w:pos="1051"/>
        </w:tabs>
      </w:pPr>
      <w:r>
        <w:t>The second was for Income Distribution.  Its purpose was to put the impacts of cross-border commerce into the context of the larger forces that govern income distribution.</w:t>
      </w:r>
    </w:p>
    <w:p w14:paraId="5BE49195" w14:textId="20A84787" w:rsidR="00F3670B" w:rsidRDefault="00F3670B" w:rsidP="003B57E3">
      <w:pPr>
        <w:pStyle w:val="Style1"/>
      </w:pPr>
    </w:p>
    <w:p w14:paraId="070C94DB" w14:textId="3543CF65" w:rsidR="00815AED" w:rsidRDefault="00F3670B" w:rsidP="003B57E3">
      <w:pPr>
        <w:pStyle w:val="Style1"/>
      </w:pPr>
      <w:r>
        <w:t>Now we're going to make the course's third and last detour</w:t>
      </w:r>
      <w:r w:rsidR="00A66F6A">
        <w:t>:</w:t>
      </w:r>
      <w:r w:rsidR="008E3EC6">
        <w:t xml:space="preserve"> Financial Crises.  </w:t>
      </w:r>
      <w:r w:rsidR="009B38BC">
        <w:t xml:space="preserve">It's not entirely a detour, as it illustrates the operation of some international institutions.  Part of its </w:t>
      </w:r>
      <w:r w:rsidR="008E3EC6">
        <w:t>purpose</w:t>
      </w:r>
      <w:r w:rsidR="009B38BC">
        <w:t>, however,</w:t>
      </w:r>
      <w:r w:rsidR="008E3EC6">
        <w:t xml:space="preserve"> is to provide background for the Currencies module</w:t>
      </w:r>
      <w:r w:rsidR="00CE747D">
        <w:t xml:space="preserve">, which studies </w:t>
      </w:r>
      <w:r w:rsidR="00815AED">
        <w:t>the international issues posed by living in a world where there are many currencies.</w:t>
      </w:r>
    </w:p>
    <w:p w14:paraId="652F72A5" w14:textId="77777777" w:rsidR="006E5274" w:rsidRDefault="006E5274" w:rsidP="003B57E3">
      <w:pPr>
        <w:pStyle w:val="Style1"/>
      </w:pPr>
    </w:p>
    <w:p w14:paraId="510BEE32" w14:textId="77777777" w:rsidR="00441756" w:rsidRDefault="00441756" w:rsidP="003B57E3">
      <w:pPr>
        <w:pStyle w:val="Style1"/>
        <w:keepNext/>
        <w:numPr>
          <w:ilvl w:val="0"/>
          <w:numId w:val="22"/>
        </w:numPr>
      </w:pPr>
    </w:p>
    <w:p w14:paraId="10A19BA6" w14:textId="77777777" w:rsidR="00791F82" w:rsidRDefault="00791F82" w:rsidP="003B57E3">
      <w:pPr>
        <w:tabs>
          <w:tab w:val="left" w:pos="1051"/>
        </w:tabs>
      </w:pPr>
    </w:p>
    <w:p w14:paraId="5390ED06" w14:textId="138E45AE" w:rsidR="00E36C70" w:rsidRDefault="00886E1C" w:rsidP="003B57E3">
      <w:pPr>
        <w:tabs>
          <w:tab w:val="left" w:pos="1051"/>
        </w:tabs>
      </w:pPr>
      <w:r>
        <w:t>The cases in this module distinguish international currency crises from debt and liquidity crises.</w:t>
      </w:r>
    </w:p>
    <w:p w14:paraId="73881443" w14:textId="77777777" w:rsidR="00AE3CC9" w:rsidRDefault="00AE3CC9" w:rsidP="003B57E3">
      <w:pPr>
        <w:tabs>
          <w:tab w:val="left" w:pos="1051"/>
        </w:tabs>
      </w:pPr>
    </w:p>
    <w:p w14:paraId="04C95BBE" w14:textId="77777777" w:rsidR="00791F82" w:rsidRDefault="00791F82" w:rsidP="003B57E3">
      <w:pPr>
        <w:pStyle w:val="Style1"/>
        <w:keepNext/>
        <w:numPr>
          <w:ilvl w:val="0"/>
          <w:numId w:val="22"/>
        </w:numPr>
      </w:pPr>
    </w:p>
    <w:p w14:paraId="62B9A821" w14:textId="77777777" w:rsidR="00791F82" w:rsidRDefault="00791F82" w:rsidP="003B57E3">
      <w:pPr>
        <w:tabs>
          <w:tab w:val="left" w:pos="1051"/>
        </w:tabs>
      </w:pPr>
    </w:p>
    <w:p w14:paraId="0AD1BE4C" w14:textId="523BB4A2" w:rsidR="00401F14" w:rsidRDefault="00401F14" w:rsidP="003B57E3">
      <w:pPr>
        <w:tabs>
          <w:tab w:val="left" w:pos="1051"/>
        </w:tabs>
      </w:pPr>
      <w:r>
        <w:t xml:space="preserve">Finance is buying and selling of financial assets.  By "asset" we mean something that endures and holds value.  </w:t>
      </w:r>
      <w:r w:rsidR="007F0B48">
        <w:t>In other words, b</w:t>
      </w:r>
      <w:r>
        <w:t>uying an asset doesn't use it up, the way buying a consumption good or services does</w:t>
      </w:r>
      <w:r w:rsidR="007F0B48">
        <w:t>: the a</w:t>
      </w:r>
      <w:r w:rsidR="00AB3419">
        <w:t>sset</w:t>
      </w:r>
      <w:r w:rsidR="007F0B48">
        <w:t xml:space="preserve"> is </w:t>
      </w:r>
      <w:r w:rsidR="00AB3419">
        <w:t>still there to be re-sold.</w:t>
      </w:r>
    </w:p>
    <w:p w14:paraId="1E151EDA" w14:textId="77777777" w:rsidR="00401F14" w:rsidRDefault="00401F14" w:rsidP="003B57E3">
      <w:pPr>
        <w:tabs>
          <w:tab w:val="left" w:pos="1051"/>
        </w:tabs>
      </w:pPr>
    </w:p>
    <w:p w14:paraId="159E2A43" w14:textId="4643C2BB" w:rsidR="004E1AD4" w:rsidRDefault="00621A50" w:rsidP="003B57E3">
      <w:pPr>
        <w:tabs>
          <w:tab w:val="left" w:pos="1051"/>
        </w:tabs>
      </w:pPr>
      <w:r>
        <w:t xml:space="preserve">One </w:t>
      </w:r>
      <w:r w:rsidR="00AB3419">
        <w:t>result of this</w:t>
      </w:r>
      <w:r w:rsidR="004E1AD4">
        <w:t xml:space="preserve"> is </w:t>
      </w:r>
      <w:r w:rsidR="00EB34AF">
        <w:t xml:space="preserve">that </w:t>
      </w:r>
      <w:r w:rsidR="004E1AD4">
        <w:t>asset prices</w:t>
      </w:r>
      <w:r w:rsidR="00EB34AF">
        <w:t xml:space="preserve"> are more variable than the prices of goods and services</w:t>
      </w:r>
      <w:r w:rsidR="004E1AD4">
        <w:t xml:space="preserve">, especially in the downward direction. </w:t>
      </w:r>
    </w:p>
    <w:p w14:paraId="56AA468D" w14:textId="29F05F90" w:rsidR="00AB3419" w:rsidRDefault="00AB3419" w:rsidP="003B57E3">
      <w:pPr>
        <w:pStyle w:val="ListParagraph"/>
        <w:widowControl/>
        <w:numPr>
          <w:ilvl w:val="0"/>
          <w:numId w:val="26"/>
        </w:numPr>
        <w:tabs>
          <w:tab w:val="left" w:pos="1051"/>
        </w:tabs>
      </w:pPr>
      <w:r>
        <w:t>Goods and services: i</w:t>
      </w:r>
      <w:r w:rsidR="00401F14">
        <w:t>f demand falls, the good's price will fall but</w:t>
      </w:r>
      <w:r w:rsidR="00481008">
        <w:t xml:space="preserve"> </w:t>
      </w:r>
      <w:r w:rsidR="00401F14">
        <w:t>it's</w:t>
      </w:r>
      <w:r w:rsidR="004E1AD4">
        <w:t xml:space="preserve"> </w:t>
      </w:r>
      <w:r w:rsidR="00481008">
        <w:t>un</w:t>
      </w:r>
      <w:r w:rsidR="004E1AD4">
        <w:t xml:space="preserve">likely to </w:t>
      </w:r>
      <w:r w:rsidR="00481008">
        <w:t xml:space="preserve">fall </w:t>
      </w:r>
      <w:r w:rsidR="004E1AD4">
        <w:t>below variable production costs</w:t>
      </w:r>
      <w:r w:rsidR="00481008">
        <w:t xml:space="preserve"> for long</w:t>
      </w:r>
      <w:r w:rsidR="004E1AD4">
        <w:t xml:space="preserve">, because </w:t>
      </w:r>
      <w:r w:rsidR="00401F14">
        <w:t xml:space="preserve">stocks of the good will </w:t>
      </w:r>
      <w:r>
        <w:t>be used up</w:t>
      </w:r>
      <w:r w:rsidR="00401F14">
        <w:t xml:space="preserve"> and </w:t>
      </w:r>
      <w:r w:rsidR="004234C6">
        <w:t xml:space="preserve">supply </w:t>
      </w:r>
      <w:r w:rsidR="007F0B48">
        <w:t>will not resume</w:t>
      </w:r>
      <w:r w:rsidR="004E1AD4">
        <w:t xml:space="preserve"> until the remaining buyers are will</w:t>
      </w:r>
      <w:r w:rsidR="00481008">
        <w:t>ing</w:t>
      </w:r>
      <w:r w:rsidR="004E1AD4">
        <w:t xml:space="preserve"> to pay the full </w:t>
      </w:r>
      <w:r>
        <w:t xml:space="preserve">production </w:t>
      </w:r>
      <w:r w:rsidR="004E1AD4">
        <w:t>cost.</w:t>
      </w:r>
      <w:r w:rsidR="00A73985">
        <w:t xml:space="preserve">  (Monopolists are more able to allow price reductions, since their usual prices are above production costs.)</w:t>
      </w:r>
    </w:p>
    <w:p w14:paraId="1538651B" w14:textId="6DA26D68" w:rsidR="004A45E9" w:rsidRDefault="004E1AD4" w:rsidP="003B57E3">
      <w:pPr>
        <w:pStyle w:val="ListParagraph"/>
        <w:widowControl/>
        <w:numPr>
          <w:ilvl w:val="0"/>
          <w:numId w:val="26"/>
        </w:numPr>
        <w:tabs>
          <w:tab w:val="left" w:pos="1051"/>
        </w:tabs>
      </w:pPr>
      <w:r>
        <w:t>Assets</w:t>
      </w:r>
      <w:r w:rsidR="00AB3419">
        <w:t>: if demand falls, the quantity supplied remains nearly the same since the existing assets are still there, and the price has to fall a lot to convince people to buy (or at least not to sell) the existing quantity.</w:t>
      </w:r>
      <w:r w:rsidR="006315FB">
        <w:t xml:space="preserve"> </w:t>
      </w:r>
      <w:r w:rsidR="00D23DFF">
        <w:t xml:space="preserve"> Demand for financial assets is also more variable, because it depends on beliefs about the future that are speculative.</w:t>
      </w:r>
    </w:p>
    <w:p w14:paraId="13F4EB78" w14:textId="77777777" w:rsidR="004A45E9" w:rsidRDefault="004A45E9" w:rsidP="003B57E3">
      <w:pPr>
        <w:tabs>
          <w:tab w:val="left" w:pos="1051"/>
        </w:tabs>
      </w:pPr>
    </w:p>
    <w:p w14:paraId="16FF01A5" w14:textId="1A10446E" w:rsidR="004E1AD4" w:rsidRDefault="006315FB" w:rsidP="003B57E3">
      <w:pPr>
        <w:tabs>
          <w:tab w:val="left" w:pos="1051"/>
        </w:tabs>
      </w:pPr>
      <w:r>
        <w:t>Th</w:t>
      </w:r>
      <w:r w:rsidR="00AB3419">
        <w:t>e</w:t>
      </w:r>
      <w:r>
        <w:t xml:space="preserve"> limitation in supply response to a reduction in demand is what gives </w:t>
      </w:r>
      <w:r w:rsidR="00481008">
        <w:t>assets</w:t>
      </w:r>
      <w:r>
        <w:t xml:space="preserve"> more short-term downside price potential.</w:t>
      </w:r>
    </w:p>
    <w:p w14:paraId="0203C4A3" w14:textId="33DE20CD" w:rsidR="00791F82" w:rsidRDefault="00791F82" w:rsidP="003B57E3">
      <w:pPr>
        <w:tabs>
          <w:tab w:val="left" w:pos="1051"/>
        </w:tabs>
      </w:pPr>
    </w:p>
    <w:p w14:paraId="6B9D2725" w14:textId="06F3AC02" w:rsidR="00791F82" w:rsidRDefault="00791F82" w:rsidP="003B57E3">
      <w:pPr>
        <w:pStyle w:val="ListParagraph"/>
        <w:widowControl/>
        <w:numPr>
          <w:ilvl w:val="0"/>
          <w:numId w:val="22"/>
        </w:numPr>
        <w:tabs>
          <w:tab w:val="left" w:pos="1051"/>
        </w:tabs>
      </w:pPr>
    </w:p>
    <w:p w14:paraId="4D1A7C0D" w14:textId="77777777" w:rsidR="00791F82" w:rsidRDefault="00791F82" w:rsidP="003B57E3">
      <w:pPr>
        <w:tabs>
          <w:tab w:val="left" w:pos="1051"/>
        </w:tabs>
      </w:pPr>
    </w:p>
    <w:p w14:paraId="113B30EE" w14:textId="44BF048A" w:rsidR="00791F82" w:rsidRDefault="00791F82" w:rsidP="003B57E3">
      <w:pPr>
        <w:tabs>
          <w:tab w:val="left" w:pos="1051"/>
        </w:tabs>
      </w:pPr>
      <w:r>
        <w:t>This slide shows a supply-demand chart that contrasts the supply response of a perishable good to the lack of downward supply response of a durable asset.</w:t>
      </w:r>
    </w:p>
    <w:p w14:paraId="44D19DA2" w14:textId="38993A07" w:rsidR="005F4BD0" w:rsidRDefault="005F4BD0" w:rsidP="003B57E3">
      <w:pPr>
        <w:tabs>
          <w:tab w:val="left" w:pos="1051"/>
        </w:tabs>
      </w:pPr>
    </w:p>
    <w:p w14:paraId="1B5DD7F9" w14:textId="529CB602" w:rsidR="00E36C70" w:rsidRDefault="00E36C70" w:rsidP="003B57E3">
      <w:pPr>
        <w:pStyle w:val="Style1"/>
        <w:keepNext/>
        <w:numPr>
          <w:ilvl w:val="0"/>
          <w:numId w:val="22"/>
        </w:numPr>
      </w:pPr>
    </w:p>
    <w:p w14:paraId="36B35476" w14:textId="77777777" w:rsidR="00791F82" w:rsidRDefault="00791F82" w:rsidP="003B57E3">
      <w:pPr>
        <w:pStyle w:val="Style1"/>
        <w:keepNext/>
      </w:pPr>
    </w:p>
    <w:p w14:paraId="34776B30" w14:textId="30888C26" w:rsidR="00BF225A" w:rsidRDefault="005E5697" w:rsidP="003B57E3">
      <w:pPr>
        <w:pStyle w:val="Style1"/>
      </w:pPr>
      <w:r>
        <w:t>Financial assets have a</w:t>
      </w:r>
      <w:r w:rsidR="008A0769">
        <w:t xml:space="preserve"> further </w:t>
      </w:r>
      <w:r>
        <w:t xml:space="preserve">source of downside price instability, which is </w:t>
      </w:r>
      <w:r w:rsidR="00BF225A">
        <w:t>leverage.  The leverage that allows you to buy a lot may also force you to sell a lot.</w:t>
      </w:r>
    </w:p>
    <w:p w14:paraId="1B535C83" w14:textId="77777777" w:rsidR="00BF225A" w:rsidRDefault="00BF225A" w:rsidP="003B57E3">
      <w:pPr>
        <w:pStyle w:val="Style1"/>
      </w:pPr>
    </w:p>
    <w:p w14:paraId="60FF550D" w14:textId="1272F35A" w:rsidR="005E5697" w:rsidRDefault="00BF225A" w:rsidP="003B57E3">
      <w:pPr>
        <w:pStyle w:val="Style1"/>
      </w:pPr>
      <w:r>
        <w:t>I</w:t>
      </w:r>
      <w:r w:rsidR="005E5697">
        <w:t>t is common</w:t>
      </w:r>
      <w:r>
        <w:t xml:space="preserve"> for financial institutions</w:t>
      </w:r>
      <w:r w:rsidR="005E5697">
        <w:t xml:space="preserve"> to buy </w:t>
      </w:r>
      <w:r>
        <w:t>financial assets</w:t>
      </w:r>
      <w:r w:rsidR="005E5697">
        <w:t xml:space="preserve"> with borrowed money</w:t>
      </w:r>
      <w:r>
        <w:t xml:space="preserve"> (leveraging their own capital).  To do so, they</w:t>
      </w:r>
      <w:r w:rsidR="005E5697">
        <w:t xml:space="preserve"> </w:t>
      </w:r>
      <w:r w:rsidR="00CF7A9E">
        <w:t>us</w:t>
      </w:r>
      <w:r>
        <w:t>e</w:t>
      </w:r>
      <w:r w:rsidR="005E5697">
        <w:t xml:space="preserve"> the value of the asset</w:t>
      </w:r>
      <w:r w:rsidR="00115180">
        <w:t xml:space="preserve"> they buy</w:t>
      </w:r>
      <w:r w:rsidR="005E5697">
        <w:t xml:space="preserve"> </w:t>
      </w:r>
      <w:r w:rsidR="00CF7A9E">
        <w:t>a</w:t>
      </w:r>
      <w:r w:rsidR="005E5697">
        <w:t>s the security</w:t>
      </w:r>
      <w:r w:rsidR="00AA21D3">
        <w:t xml:space="preserve"> (collateral)</w:t>
      </w:r>
      <w:r w:rsidR="005E5697">
        <w:t xml:space="preserve"> </w:t>
      </w:r>
      <w:r>
        <w:t xml:space="preserve">demanded by </w:t>
      </w:r>
      <w:r w:rsidR="005E5697">
        <w:t>the lender</w:t>
      </w:r>
      <w:r w:rsidR="00CF7A9E">
        <w:t xml:space="preserve"> (like a car that </w:t>
      </w:r>
      <w:r>
        <w:t>a</w:t>
      </w:r>
      <w:r w:rsidR="00CF7A9E">
        <w:t xml:space="preserve"> lender can repossess)</w:t>
      </w:r>
      <w:r w:rsidR="005E5697">
        <w:t>.</w:t>
      </w:r>
    </w:p>
    <w:p w14:paraId="3831AA7F" w14:textId="6466AAA4" w:rsidR="005E5697" w:rsidRDefault="005E5697" w:rsidP="003B57E3">
      <w:pPr>
        <w:pStyle w:val="Style1"/>
      </w:pPr>
    </w:p>
    <w:p w14:paraId="136554A4" w14:textId="63892E31" w:rsidR="00161000" w:rsidRDefault="00333BAB" w:rsidP="003B57E3">
      <w:pPr>
        <w:pStyle w:val="Style1"/>
      </w:pPr>
      <w:r>
        <w:t>A</w:t>
      </w:r>
      <w:r w:rsidR="005E5697">
        <w:t xml:space="preserve"> price decrease </w:t>
      </w:r>
      <w:r w:rsidR="00600CE6">
        <w:t xml:space="preserve">in the security </w:t>
      </w:r>
      <w:r w:rsidR="005E5697">
        <w:t xml:space="preserve">reduces the </w:t>
      </w:r>
      <w:r w:rsidR="004C1AD5">
        <w:t xml:space="preserve">value of the </w:t>
      </w:r>
      <w:r w:rsidR="005E5697">
        <w:t>borrower's</w:t>
      </w:r>
      <w:r w:rsidR="005A5A50">
        <w:t xml:space="preserve"> and t</w:t>
      </w:r>
      <w:r w:rsidR="005E5697">
        <w:t xml:space="preserve">he lender will ask the borrower to put up </w:t>
      </w:r>
      <w:r w:rsidR="00600CE6">
        <w:t xml:space="preserve">more </w:t>
      </w:r>
      <w:r w:rsidR="005E5697">
        <w:t xml:space="preserve">money to re-build the full amount of collateral.  </w:t>
      </w:r>
      <w:r>
        <w:t>This "margin call"</w:t>
      </w:r>
      <w:r w:rsidR="006D5334">
        <w:t xml:space="preserve"> from lenders</w:t>
      </w:r>
      <w:r>
        <w:t xml:space="preserve"> is automatic in financial markets.</w:t>
      </w:r>
    </w:p>
    <w:p w14:paraId="35942B50" w14:textId="77777777" w:rsidR="00161000" w:rsidRDefault="00161000" w:rsidP="003B57E3">
      <w:pPr>
        <w:pStyle w:val="Style1"/>
      </w:pPr>
    </w:p>
    <w:p w14:paraId="588BFFE0" w14:textId="333600C3" w:rsidR="006D5334" w:rsidRDefault="005E5697" w:rsidP="003B57E3">
      <w:pPr>
        <w:pStyle w:val="Style1"/>
      </w:pPr>
      <w:r>
        <w:t xml:space="preserve">If the borrower has lots of money, </w:t>
      </w:r>
      <w:r w:rsidR="003331C0">
        <w:t xml:space="preserve">then there's no problem in </w:t>
      </w:r>
      <w:r w:rsidR="00161000">
        <w:t xml:space="preserve">depositing money to re-build </w:t>
      </w:r>
      <w:r w:rsidR="003331C0">
        <w:t xml:space="preserve">the </w:t>
      </w:r>
      <w:r w:rsidR="00161000">
        <w:t>collateral</w:t>
      </w:r>
      <w:r>
        <w:t>.</w:t>
      </w:r>
      <w:r w:rsidR="00161000">
        <w:t xml:space="preserve">  </w:t>
      </w:r>
      <w:r>
        <w:t xml:space="preserve">But </w:t>
      </w:r>
      <w:r w:rsidR="00782A49">
        <w:t>if the borrower ha</w:t>
      </w:r>
      <w:r w:rsidR="006355F8">
        <w:t>d</w:t>
      </w:r>
      <w:r w:rsidR="00782A49">
        <w:t xml:space="preserve"> lots of money sitting around, </w:t>
      </w:r>
      <w:r>
        <w:t xml:space="preserve">then why borrow in the first place?  </w:t>
      </w:r>
      <w:r w:rsidR="00D40076">
        <w:t>On the contrary, since t</w:t>
      </w:r>
      <w:r>
        <w:t>he more you borrow the more profit you can make</w:t>
      </w:r>
      <w:r w:rsidR="006D5334">
        <w:t>, the borrower may already have borrowed everything possible with the capital available</w:t>
      </w:r>
      <w:r>
        <w:t xml:space="preserve"> and won't have enough spare cash to re-build collateral when required.</w:t>
      </w:r>
      <w:r w:rsidR="007320E6">
        <w:t xml:space="preserve"> </w:t>
      </w:r>
    </w:p>
    <w:p w14:paraId="03A88723" w14:textId="77777777" w:rsidR="006D5334" w:rsidRDefault="006D5334" w:rsidP="003B57E3">
      <w:pPr>
        <w:pStyle w:val="Style1"/>
      </w:pPr>
    </w:p>
    <w:p w14:paraId="70143B29" w14:textId="4D2446AB" w:rsidR="005E5697" w:rsidRDefault="007320E6" w:rsidP="003B57E3">
      <w:pPr>
        <w:pStyle w:val="Style1"/>
      </w:pPr>
      <w:r>
        <w:t>In this case, t</w:t>
      </w:r>
      <w:r w:rsidR="005E5697">
        <w:t xml:space="preserve">he borrower </w:t>
      </w:r>
      <w:r w:rsidR="000D7B23">
        <w:t>must</w:t>
      </w:r>
      <w:r w:rsidR="005E5697">
        <w:t xml:space="preserve"> sell </w:t>
      </w:r>
      <w:r>
        <w:t xml:space="preserve">some </w:t>
      </w:r>
      <w:r w:rsidR="00E31B38">
        <w:t xml:space="preserve">assets </w:t>
      </w:r>
      <w:r>
        <w:t>to</w:t>
      </w:r>
      <w:r w:rsidR="005E5697">
        <w:t xml:space="preserve"> reduce the amount of required collateral </w:t>
      </w:r>
      <w:r w:rsidR="00363C26">
        <w:t xml:space="preserve">down </w:t>
      </w:r>
      <w:r w:rsidR="005E5697">
        <w:t>to what the borrower can afford.</w:t>
      </w:r>
      <w:r w:rsidR="006D5334">
        <w:t xml:space="preserve">  Selling assets tends to reduce their market price.</w:t>
      </w:r>
    </w:p>
    <w:p w14:paraId="3F1F80F1" w14:textId="36A27EE2" w:rsidR="005E5697" w:rsidRDefault="005E5697" w:rsidP="003B57E3">
      <w:pPr>
        <w:pStyle w:val="Style1"/>
      </w:pPr>
    </w:p>
    <w:p w14:paraId="3FBBD82D" w14:textId="05AEE211" w:rsidR="005C6DF6" w:rsidRDefault="005E5697" w:rsidP="003B57E3">
      <w:pPr>
        <w:pStyle w:val="Style1"/>
      </w:pPr>
      <w:r>
        <w:t>T</w:t>
      </w:r>
      <w:r w:rsidR="006D5334">
        <w:t>o summarize t</w:t>
      </w:r>
      <w:r>
        <w:t xml:space="preserve">he dynamic </w:t>
      </w:r>
      <w:r w:rsidR="006D5334">
        <w:t>described above:</w:t>
      </w:r>
      <w:r>
        <w:t xml:space="preserve"> when asset prices fall, leveraged investors </w:t>
      </w:r>
      <w:r w:rsidR="000D7B23">
        <w:t>must</w:t>
      </w:r>
      <w:r>
        <w:t xml:space="preserve"> sell</w:t>
      </w:r>
      <w:r w:rsidR="00E31B38">
        <w:t xml:space="preserve"> the assets</w:t>
      </w:r>
      <w:r w:rsidR="005C6DF6">
        <w:t>, w</w:t>
      </w:r>
      <w:r>
        <w:t xml:space="preserve">hich obviously puts pressure on asset prices to fall further.  This is instability: change leads to further change </w:t>
      </w:r>
      <w:r w:rsidR="005C6DF6">
        <w:t xml:space="preserve">in the same direction — downward.  </w:t>
      </w:r>
    </w:p>
    <w:p w14:paraId="399D1FC9" w14:textId="77777777" w:rsidR="005C6DF6" w:rsidRDefault="005C6DF6" w:rsidP="003B57E3">
      <w:pPr>
        <w:pStyle w:val="Style1"/>
      </w:pPr>
    </w:p>
    <w:p w14:paraId="12EA7C12" w14:textId="66EAF548" w:rsidR="005E5697" w:rsidRDefault="005C6DF6" w:rsidP="003B57E3">
      <w:pPr>
        <w:pStyle w:val="Style1"/>
      </w:pPr>
      <w:r>
        <w:t xml:space="preserve">(Stability is when a process is </w:t>
      </w:r>
      <w:r w:rsidR="005E5697">
        <w:t xml:space="preserve">self-correcting. </w:t>
      </w:r>
      <w:r>
        <w:t xml:space="preserve"> </w:t>
      </w:r>
      <w:r w:rsidR="005E75D6">
        <w:t>For example, t</w:t>
      </w:r>
      <w:r>
        <w:t xml:space="preserve">he equilibrium of a perfectly competitive supply-and-demand market is portrayed as </w:t>
      </w:r>
      <w:r w:rsidR="009E7222">
        <w:t xml:space="preserve">being </w:t>
      </w:r>
      <w:r>
        <w:t>stable because a fall in demand — a</w:t>
      </w:r>
      <w:r w:rsidR="009E7222">
        <w:t xml:space="preserve"> downward</w:t>
      </w:r>
      <w:r>
        <w:t xml:space="preserve"> shift in the demand curve — reduces prices</w:t>
      </w:r>
      <w:r w:rsidR="005E75D6">
        <w:t xml:space="preserve">, which partially counteracts </w:t>
      </w:r>
      <w:r>
        <w:t>the</w:t>
      </w:r>
      <w:r w:rsidR="005E75D6">
        <w:t xml:space="preserve"> initial</w:t>
      </w:r>
      <w:r>
        <w:t xml:space="preserve"> </w:t>
      </w:r>
      <w:r w:rsidR="009E7222">
        <w:t>reduction</w:t>
      </w:r>
      <w:r>
        <w:t xml:space="preserve"> in demand.)</w:t>
      </w:r>
    </w:p>
    <w:p w14:paraId="374A3BE2" w14:textId="77777777" w:rsidR="005E5697" w:rsidRDefault="005E5697" w:rsidP="003B57E3">
      <w:pPr>
        <w:pStyle w:val="Style1"/>
      </w:pPr>
    </w:p>
    <w:p w14:paraId="34C5E4D8" w14:textId="245D5279" w:rsidR="005E5697" w:rsidRPr="00F67E30" w:rsidRDefault="005E5697" w:rsidP="003B57E3">
      <w:pPr>
        <w:pStyle w:val="Style1"/>
        <w:keepNext/>
        <w:numPr>
          <w:ilvl w:val="0"/>
          <w:numId w:val="22"/>
        </w:numPr>
      </w:pPr>
    </w:p>
    <w:p w14:paraId="26E90E1C" w14:textId="77777777" w:rsidR="005E5697" w:rsidRDefault="005E5697" w:rsidP="003B57E3">
      <w:pPr>
        <w:pStyle w:val="Style1"/>
        <w:keepNext/>
      </w:pPr>
    </w:p>
    <w:p w14:paraId="57F87EF8" w14:textId="15B79E72" w:rsidR="00287C38" w:rsidRDefault="003D43A9" w:rsidP="003B57E3">
      <w:pPr>
        <w:tabs>
          <w:tab w:val="left" w:pos="1051"/>
        </w:tabs>
      </w:pPr>
      <w:r>
        <w:t xml:space="preserve">How </w:t>
      </w:r>
      <w:r w:rsidR="00965E37">
        <w:t>financial assets'</w:t>
      </w:r>
      <w:r>
        <w:t xml:space="preserve"> depreciation potential</w:t>
      </w:r>
      <w:r w:rsidR="00965E37">
        <w:t xml:space="preserve"> can turn into a crisis</w:t>
      </w:r>
      <w:r>
        <w:t xml:space="preserve"> depends on the type of asset and the institutions that create and manage it</w:t>
      </w:r>
      <w:r w:rsidR="00EB6104">
        <w:t>.</w:t>
      </w:r>
      <w:r>
        <w:t xml:space="preserve">  We'll </w:t>
      </w:r>
      <w:r w:rsidR="00630D82">
        <w:t>study</w:t>
      </w:r>
      <w:r>
        <w:t xml:space="preserve"> </w:t>
      </w:r>
      <w:r w:rsidR="00D443D5">
        <w:t xml:space="preserve">crisis </w:t>
      </w:r>
      <w:r>
        <w:t>cases</w:t>
      </w:r>
      <w:r w:rsidR="00D443D5">
        <w:t xml:space="preserve"> for three types of financial assets</w:t>
      </w:r>
      <w:r w:rsidR="00287C38">
        <w:t>.</w:t>
      </w:r>
    </w:p>
    <w:p w14:paraId="56455C8E" w14:textId="0CD16410" w:rsidR="00630D82" w:rsidRDefault="003D43A9" w:rsidP="003B57E3">
      <w:pPr>
        <w:tabs>
          <w:tab w:val="left" w:pos="1051"/>
        </w:tabs>
      </w:pPr>
      <w:r>
        <w:t xml:space="preserve"> </w:t>
      </w:r>
    </w:p>
    <w:p w14:paraId="7E052EBB" w14:textId="77E3E073" w:rsidR="00630D82" w:rsidRDefault="00630D82" w:rsidP="003B57E3">
      <w:pPr>
        <w:pStyle w:val="ListParagraph"/>
        <w:widowControl/>
        <w:numPr>
          <w:ilvl w:val="0"/>
          <w:numId w:val="13"/>
        </w:numPr>
        <w:tabs>
          <w:tab w:val="left" w:pos="1051"/>
        </w:tabs>
      </w:pPr>
      <w:r>
        <w:t>Debt</w:t>
      </w:r>
      <w:r w:rsidR="00AE59B8">
        <w:t xml:space="preserve"> assets</w:t>
      </w:r>
      <w:r>
        <w:t xml:space="preserve"> and </w:t>
      </w:r>
      <w:r w:rsidR="00AE59B8">
        <w:t xml:space="preserve">their </w:t>
      </w:r>
      <w:r>
        <w:t>depreciation relative to money.</w:t>
      </w:r>
      <w:r w:rsidR="009D1203">
        <w:t xml:space="preserve">  The entity in crisis is a debtor.</w:t>
      </w:r>
      <w:r w:rsidR="00287C38">
        <w:t xml:space="preserve">  The case is Europe in 2010 to 2012.</w:t>
      </w:r>
    </w:p>
    <w:p w14:paraId="32DCA746" w14:textId="1E8DED69" w:rsidR="00630D82" w:rsidRDefault="00630D82" w:rsidP="003B57E3">
      <w:pPr>
        <w:pStyle w:val="ListParagraph"/>
        <w:widowControl/>
        <w:numPr>
          <w:ilvl w:val="0"/>
          <w:numId w:val="13"/>
        </w:numPr>
        <w:tabs>
          <w:tab w:val="left" w:pos="1051"/>
        </w:tabs>
      </w:pPr>
      <w:r>
        <w:t>Privately supplied liquid financial assets and their depreciation relative to officially guaranteed financial assets.</w:t>
      </w:r>
      <w:r w:rsidR="009D1203">
        <w:t xml:space="preserve">  The entity in crisis is a</w:t>
      </w:r>
      <w:r w:rsidR="00965E37">
        <w:t xml:space="preserve"> private</w:t>
      </w:r>
      <w:r w:rsidR="009D1203">
        <w:t xml:space="preserve"> financial </w:t>
      </w:r>
      <w:r w:rsidR="00965E37">
        <w:t>institution</w:t>
      </w:r>
      <w:r w:rsidR="009D1203">
        <w:t>.</w:t>
      </w:r>
      <w:r w:rsidR="00287C38">
        <w:t xml:space="preserve">  The case is the U.S. in 2008.</w:t>
      </w:r>
    </w:p>
    <w:p w14:paraId="3DD63951" w14:textId="27880289" w:rsidR="00EB6104" w:rsidRDefault="00630D82" w:rsidP="003B57E3">
      <w:pPr>
        <w:pStyle w:val="ListParagraph"/>
        <w:widowControl/>
        <w:numPr>
          <w:ilvl w:val="0"/>
          <w:numId w:val="13"/>
        </w:numPr>
        <w:tabs>
          <w:tab w:val="left" w:pos="1051"/>
        </w:tabs>
      </w:pPr>
      <w:r>
        <w:t>Mini-currencies and their depreciation relative to global reserve currencies.</w:t>
      </w:r>
      <w:r w:rsidR="009D1203">
        <w:t xml:space="preserve">  The entity in crisis is a </w:t>
      </w:r>
      <w:r w:rsidR="007B0E5B">
        <w:t xml:space="preserve">mini-currency's </w:t>
      </w:r>
      <w:r w:rsidR="009D1203">
        <w:t>central bank</w:t>
      </w:r>
      <w:r w:rsidR="001532ED">
        <w:t>, in its role as a monetary authority</w:t>
      </w:r>
      <w:r w:rsidR="009D1203">
        <w:t>.</w:t>
      </w:r>
      <w:r w:rsidR="00287C38">
        <w:t xml:space="preserve">  The cases are from East Asia in 1997.</w:t>
      </w:r>
    </w:p>
    <w:p w14:paraId="3A4F5740" w14:textId="77777777" w:rsidR="002747E8" w:rsidRDefault="002747E8" w:rsidP="003B57E3">
      <w:pPr>
        <w:pStyle w:val="Normal1"/>
        <w:keepNext/>
        <w:spacing w:after="0" w:line="240" w:lineRule="auto"/>
        <w:rPr>
          <w:sz w:val="24"/>
          <w:szCs w:val="24"/>
        </w:rPr>
      </w:pPr>
    </w:p>
    <w:p w14:paraId="55E68C10" w14:textId="5B94EEA3" w:rsidR="00980CFB" w:rsidRDefault="00980CFB" w:rsidP="003B57E3">
      <w:pPr>
        <w:pStyle w:val="Normal1"/>
        <w:spacing w:after="0" w:line="240" w:lineRule="auto"/>
        <w:rPr>
          <w:sz w:val="24"/>
          <w:szCs w:val="24"/>
        </w:rPr>
      </w:pPr>
      <w:r>
        <w:rPr>
          <w:sz w:val="24"/>
          <w:szCs w:val="24"/>
        </w:rPr>
        <w:t>The main takeaways from these cases are the following.</w:t>
      </w:r>
    </w:p>
    <w:p w14:paraId="08D1BF12" w14:textId="2B841C9B" w:rsidR="002747E8" w:rsidRPr="00980CFB" w:rsidRDefault="00980CFB" w:rsidP="003B57E3">
      <w:pPr>
        <w:pStyle w:val="Normal1"/>
        <w:numPr>
          <w:ilvl w:val="0"/>
          <w:numId w:val="27"/>
        </w:numPr>
        <w:spacing w:after="0" w:line="240" w:lineRule="auto"/>
        <w:rPr>
          <w:sz w:val="24"/>
          <w:szCs w:val="24"/>
        </w:rPr>
      </w:pPr>
      <w:r>
        <w:rPr>
          <w:sz w:val="24"/>
          <w:szCs w:val="24"/>
        </w:rPr>
        <w:t xml:space="preserve">Europe 2010: </w:t>
      </w:r>
      <w:r w:rsidR="00512A8C">
        <w:rPr>
          <w:sz w:val="24"/>
          <w:szCs w:val="24"/>
        </w:rPr>
        <w:t xml:space="preserve">For those who were around at the time, U.S. rhetoric would have tried to convince you that there was a crisis of the euro currency in 2010.  The contrast </w:t>
      </w:r>
      <w:r w:rsidR="009F7849">
        <w:rPr>
          <w:sz w:val="24"/>
          <w:szCs w:val="24"/>
        </w:rPr>
        <w:t>with</w:t>
      </w:r>
      <w:r w:rsidR="00512A8C">
        <w:rPr>
          <w:sz w:val="24"/>
          <w:szCs w:val="24"/>
        </w:rPr>
        <w:t xml:space="preserve"> </w:t>
      </w:r>
      <w:r w:rsidR="004A166C">
        <w:rPr>
          <w:sz w:val="24"/>
          <w:szCs w:val="24"/>
        </w:rPr>
        <w:t xml:space="preserve">an </w:t>
      </w:r>
      <w:r w:rsidR="00512A8C">
        <w:rPr>
          <w:sz w:val="24"/>
          <w:szCs w:val="24"/>
        </w:rPr>
        <w:t>actual currency crisis of East Asia in 1997, illustrated by slides 13 and 14 below, shows that this was not the case.</w:t>
      </w:r>
      <w:r>
        <w:rPr>
          <w:sz w:val="24"/>
          <w:szCs w:val="24"/>
        </w:rPr>
        <w:t xml:space="preserve">  </w:t>
      </w:r>
      <w:r w:rsidR="004A166C" w:rsidRPr="00980CFB">
        <w:rPr>
          <w:sz w:val="24"/>
          <w:szCs w:val="24"/>
        </w:rPr>
        <w:t>What th</w:t>
      </w:r>
      <w:r w:rsidR="00A0759E" w:rsidRPr="00980CFB">
        <w:rPr>
          <w:sz w:val="24"/>
          <w:szCs w:val="24"/>
        </w:rPr>
        <w:t>e</w:t>
      </w:r>
      <w:r w:rsidR="004A166C" w:rsidRPr="00980CFB">
        <w:rPr>
          <w:sz w:val="24"/>
          <w:szCs w:val="24"/>
        </w:rPr>
        <w:t xml:space="preserve"> case</w:t>
      </w:r>
      <w:r w:rsidR="00A0759E" w:rsidRPr="00980CFB">
        <w:rPr>
          <w:sz w:val="24"/>
          <w:szCs w:val="24"/>
        </w:rPr>
        <w:t xml:space="preserve"> of Europe's debt crisis of 2010</w:t>
      </w:r>
      <w:r w:rsidR="004A166C" w:rsidRPr="00980CFB">
        <w:rPr>
          <w:sz w:val="24"/>
          <w:szCs w:val="24"/>
        </w:rPr>
        <w:t xml:space="preserve"> does i</w:t>
      </w:r>
      <w:r w:rsidR="002747E8" w:rsidRPr="00980CFB">
        <w:rPr>
          <w:sz w:val="24"/>
          <w:szCs w:val="24"/>
        </w:rPr>
        <w:t>llustrate</w:t>
      </w:r>
      <w:r w:rsidR="004A166C" w:rsidRPr="00980CFB">
        <w:rPr>
          <w:sz w:val="24"/>
          <w:szCs w:val="24"/>
        </w:rPr>
        <w:t xml:space="preserve"> is how international currency cooperation needs to be institutionalized through cross-border central banking for the countries participating in a currency arrangement. </w:t>
      </w:r>
      <w:r w:rsidR="00287C38" w:rsidRPr="00980CFB">
        <w:rPr>
          <w:sz w:val="24"/>
          <w:szCs w:val="24"/>
        </w:rPr>
        <w:t xml:space="preserve"> The course's Currencies module returns to this point.</w:t>
      </w:r>
    </w:p>
    <w:p w14:paraId="1C6250D4" w14:textId="08AA540F" w:rsidR="002747E8" w:rsidRPr="00980CFB" w:rsidRDefault="002747E8" w:rsidP="003B57E3">
      <w:pPr>
        <w:pStyle w:val="Normal1"/>
        <w:keepNext/>
        <w:numPr>
          <w:ilvl w:val="0"/>
          <w:numId w:val="24"/>
        </w:numPr>
        <w:spacing w:after="0" w:line="240" w:lineRule="auto"/>
        <w:rPr>
          <w:sz w:val="24"/>
          <w:szCs w:val="24"/>
        </w:rPr>
      </w:pPr>
      <w:r>
        <w:rPr>
          <w:sz w:val="24"/>
          <w:szCs w:val="24"/>
        </w:rPr>
        <w:t>U.S. 2008</w:t>
      </w:r>
      <w:r w:rsidR="00980CFB">
        <w:rPr>
          <w:sz w:val="24"/>
          <w:szCs w:val="24"/>
        </w:rPr>
        <w:t xml:space="preserve">: </w:t>
      </w:r>
      <w:r w:rsidR="004A166C" w:rsidRPr="00980CFB">
        <w:rPr>
          <w:sz w:val="24"/>
          <w:szCs w:val="24"/>
        </w:rPr>
        <w:t xml:space="preserve">While this crisis had impacts that crossed borders, it wasn't essentially international and wasn't </w:t>
      </w:r>
      <w:r w:rsidRPr="00980CFB">
        <w:rPr>
          <w:sz w:val="24"/>
          <w:szCs w:val="24"/>
        </w:rPr>
        <w:t>a currency crisis</w:t>
      </w:r>
      <w:r w:rsidR="004A166C" w:rsidRPr="00980CFB">
        <w:rPr>
          <w:sz w:val="24"/>
          <w:szCs w:val="24"/>
        </w:rPr>
        <w:t>.  It's useful, however, for i</w:t>
      </w:r>
      <w:r w:rsidRPr="00980CFB">
        <w:rPr>
          <w:sz w:val="24"/>
          <w:szCs w:val="24"/>
        </w:rPr>
        <w:t>llustrat</w:t>
      </w:r>
      <w:r w:rsidR="004A166C" w:rsidRPr="00980CFB">
        <w:rPr>
          <w:sz w:val="24"/>
          <w:szCs w:val="24"/>
        </w:rPr>
        <w:t>ing the potential instability of financial markets and the</w:t>
      </w:r>
      <w:r w:rsidRPr="00980CFB">
        <w:rPr>
          <w:sz w:val="24"/>
          <w:szCs w:val="24"/>
        </w:rPr>
        <w:t xml:space="preserve"> importance of adjusting banking regulation to changing market mechanisms.</w:t>
      </w:r>
    </w:p>
    <w:p w14:paraId="514BE31B" w14:textId="7CD8D667" w:rsidR="002747E8" w:rsidRPr="00980CFB" w:rsidRDefault="002747E8" w:rsidP="003B57E3">
      <w:pPr>
        <w:pStyle w:val="Normal1"/>
        <w:keepNext/>
        <w:numPr>
          <w:ilvl w:val="0"/>
          <w:numId w:val="24"/>
        </w:numPr>
        <w:spacing w:after="0" w:line="240" w:lineRule="auto"/>
        <w:rPr>
          <w:sz w:val="24"/>
          <w:szCs w:val="24"/>
        </w:rPr>
      </w:pPr>
      <w:r>
        <w:rPr>
          <w:sz w:val="24"/>
          <w:szCs w:val="24"/>
        </w:rPr>
        <w:t>East Asia 1997</w:t>
      </w:r>
      <w:r w:rsidR="00980CFB">
        <w:rPr>
          <w:sz w:val="24"/>
          <w:szCs w:val="24"/>
        </w:rPr>
        <w:t xml:space="preserve">: </w:t>
      </w:r>
      <w:r w:rsidR="004A166C" w:rsidRPr="00980CFB">
        <w:rPr>
          <w:sz w:val="24"/>
          <w:szCs w:val="24"/>
        </w:rPr>
        <w:t>This</w:t>
      </w:r>
      <w:r w:rsidR="00707CA7" w:rsidRPr="00980CFB">
        <w:rPr>
          <w:sz w:val="24"/>
          <w:szCs w:val="24"/>
        </w:rPr>
        <w:t xml:space="preserve"> was</w:t>
      </w:r>
      <w:r w:rsidRPr="00980CFB">
        <w:rPr>
          <w:sz w:val="24"/>
          <w:szCs w:val="24"/>
        </w:rPr>
        <w:t xml:space="preserve"> </w:t>
      </w:r>
      <w:r w:rsidR="00461998" w:rsidRPr="00980CFB">
        <w:rPr>
          <w:sz w:val="24"/>
          <w:szCs w:val="24"/>
        </w:rPr>
        <w:t xml:space="preserve">a </w:t>
      </w:r>
      <w:r w:rsidRPr="00980CFB">
        <w:rPr>
          <w:sz w:val="24"/>
          <w:szCs w:val="24"/>
        </w:rPr>
        <w:t>currency crisis</w:t>
      </w:r>
      <w:r w:rsidR="00707CA7" w:rsidRPr="00980CFB">
        <w:rPr>
          <w:sz w:val="24"/>
          <w:szCs w:val="24"/>
        </w:rPr>
        <w:t xml:space="preserve">.  Its experience </w:t>
      </w:r>
      <w:r w:rsidR="004A166C" w:rsidRPr="00980CFB">
        <w:rPr>
          <w:sz w:val="24"/>
          <w:szCs w:val="24"/>
        </w:rPr>
        <w:t xml:space="preserve">is directly relevant </w:t>
      </w:r>
      <w:r w:rsidR="00707CA7" w:rsidRPr="00980CFB">
        <w:rPr>
          <w:sz w:val="24"/>
          <w:szCs w:val="24"/>
        </w:rPr>
        <w:t xml:space="preserve">background </w:t>
      </w:r>
      <w:r w:rsidR="004A166C" w:rsidRPr="00980CFB">
        <w:rPr>
          <w:sz w:val="24"/>
          <w:szCs w:val="24"/>
        </w:rPr>
        <w:t>to the Currencies module</w:t>
      </w:r>
      <w:r w:rsidR="00707CA7" w:rsidRPr="00980CFB">
        <w:rPr>
          <w:sz w:val="24"/>
          <w:szCs w:val="24"/>
        </w:rPr>
        <w:t>, which explores the global setup</w:t>
      </w:r>
      <w:r w:rsidR="007426F8" w:rsidRPr="00980CFB">
        <w:rPr>
          <w:sz w:val="24"/>
          <w:szCs w:val="24"/>
        </w:rPr>
        <w:t xml:space="preserve"> in which currency crises may take place</w:t>
      </w:r>
      <w:r w:rsidRPr="00980CFB">
        <w:rPr>
          <w:sz w:val="24"/>
          <w:szCs w:val="24"/>
        </w:rPr>
        <w:t>.</w:t>
      </w:r>
    </w:p>
    <w:p w14:paraId="7544F54A" w14:textId="77777777" w:rsidR="002747E8" w:rsidRDefault="002747E8" w:rsidP="003B57E3">
      <w:pPr>
        <w:tabs>
          <w:tab w:val="left" w:pos="1051"/>
        </w:tabs>
      </w:pPr>
    </w:p>
    <w:p w14:paraId="528FC5D8" w14:textId="396FA843" w:rsidR="000A023D" w:rsidRPr="00F67E30" w:rsidRDefault="000A023D" w:rsidP="003B57E3">
      <w:pPr>
        <w:pStyle w:val="Style1"/>
        <w:keepNext/>
        <w:numPr>
          <w:ilvl w:val="0"/>
          <w:numId w:val="22"/>
        </w:numPr>
      </w:pPr>
    </w:p>
    <w:p w14:paraId="70A5C9D4" w14:textId="77777777" w:rsidR="000A023D" w:rsidRDefault="000A023D" w:rsidP="003B57E3">
      <w:pPr>
        <w:pStyle w:val="Style1"/>
        <w:keepNext/>
      </w:pPr>
    </w:p>
    <w:p w14:paraId="6D660097" w14:textId="77777777" w:rsidR="00B96D06" w:rsidRDefault="00B96D06" w:rsidP="003B57E3">
      <w:pPr>
        <w:tabs>
          <w:tab w:val="left" w:pos="1051"/>
        </w:tabs>
      </w:pPr>
      <w:r>
        <w:rPr>
          <w:b/>
          <w:bCs/>
        </w:rPr>
        <w:t xml:space="preserve">A Debt Crisis: Europe </w:t>
      </w:r>
      <w:r w:rsidRPr="006258C0">
        <w:rPr>
          <w:b/>
          <w:bCs/>
        </w:rPr>
        <w:t>2010</w:t>
      </w:r>
    </w:p>
    <w:p w14:paraId="7092B582" w14:textId="77777777" w:rsidR="00B96D06" w:rsidRDefault="00B96D06" w:rsidP="003B57E3">
      <w:pPr>
        <w:tabs>
          <w:tab w:val="left" w:pos="1051"/>
        </w:tabs>
      </w:pPr>
    </w:p>
    <w:p w14:paraId="2E0BFC3B" w14:textId="16746D7B" w:rsidR="00185051" w:rsidRDefault="00630D82" w:rsidP="003B57E3">
      <w:pPr>
        <w:tabs>
          <w:tab w:val="left" w:pos="1051"/>
        </w:tabs>
      </w:pPr>
      <w:r w:rsidRPr="00B96D06">
        <w:t>First</w:t>
      </w:r>
      <w:r>
        <w:t>, debt crises</w:t>
      </w:r>
      <w:r w:rsidR="00433A28">
        <w:t>: a debtor's income or financial wealth may fall to an extent that the debtor doesn't fulfill the contract with a lender</w:t>
      </w:r>
      <w:r w:rsidR="000947F1">
        <w:t xml:space="preserve"> —</w:t>
      </w:r>
      <w:r w:rsidR="00185051">
        <w:t xml:space="preserve"> doesn't pay the interest or repay the principal on the due date</w:t>
      </w:r>
      <w:r w:rsidR="00EF1A88">
        <w:t>.</w:t>
      </w:r>
      <w:r w:rsidR="00185051">
        <w:t xml:space="preserve">  </w:t>
      </w:r>
    </w:p>
    <w:p w14:paraId="2B6C1DDE" w14:textId="77777777" w:rsidR="00185051" w:rsidRDefault="00185051" w:rsidP="003B57E3">
      <w:pPr>
        <w:tabs>
          <w:tab w:val="left" w:pos="1051"/>
        </w:tabs>
      </w:pPr>
    </w:p>
    <w:p w14:paraId="5202DFEF" w14:textId="3299B4A9" w:rsidR="002C1A9B" w:rsidRDefault="00404134" w:rsidP="003B57E3">
      <w:pPr>
        <w:tabs>
          <w:tab w:val="left" w:pos="1051"/>
        </w:tabs>
      </w:pPr>
      <w:r>
        <w:t>In addition (as explained above), i</w:t>
      </w:r>
      <w:r w:rsidR="00185051">
        <w:t>f the loan contract</w:t>
      </w:r>
      <w:r w:rsidR="003B5101">
        <w:t xml:space="preserve"> </w:t>
      </w:r>
      <w:r w:rsidR="00185051">
        <w:t xml:space="preserve">requires that the borrower maintain </w:t>
      </w:r>
      <w:r w:rsidR="007D6CD1">
        <w:t xml:space="preserve">a </w:t>
      </w:r>
      <w:r w:rsidR="00185051">
        <w:t xml:space="preserve">certain </w:t>
      </w:r>
      <w:r w:rsidR="007D6CD1">
        <w:t>amount of</w:t>
      </w:r>
      <w:r>
        <w:t xml:space="preserve"> collateral</w:t>
      </w:r>
      <w:r w:rsidR="007D6CD1">
        <w:t xml:space="preserve"> in the form of a security</w:t>
      </w:r>
      <w:r w:rsidR="00185051">
        <w:t xml:space="preserve">, then a technical default </w:t>
      </w:r>
      <w:r>
        <w:t xml:space="preserve">by the borrower could occur </w:t>
      </w:r>
      <w:r w:rsidR="00185051">
        <w:t>even without missing a payment</w:t>
      </w:r>
      <w:r w:rsidR="002C1A9B">
        <w:t xml:space="preserve"> if the security's value in the market falls below the required amount</w:t>
      </w:r>
      <w:r w:rsidR="00185051">
        <w:t xml:space="preserve">. </w:t>
      </w:r>
      <w:r w:rsidR="007D6CD1">
        <w:t xml:space="preserve"> Indeed, it may be sufficient for the risk rating of the security to fall for this to happen.</w:t>
      </w:r>
    </w:p>
    <w:p w14:paraId="1B2A6AF4" w14:textId="77777777" w:rsidR="002C1A9B" w:rsidRDefault="002C1A9B" w:rsidP="003B57E3">
      <w:pPr>
        <w:tabs>
          <w:tab w:val="left" w:pos="1051"/>
        </w:tabs>
      </w:pPr>
    </w:p>
    <w:p w14:paraId="3F2BB86A" w14:textId="659D7F56" w:rsidR="007D6CD1" w:rsidRDefault="002C1A9B" w:rsidP="003B57E3">
      <w:pPr>
        <w:tabs>
          <w:tab w:val="left" w:pos="1051"/>
        </w:tabs>
      </w:pPr>
      <w:r>
        <w:t>When a borrower goes into default, even a technical default</w:t>
      </w:r>
      <w:r w:rsidR="00185051">
        <w:t>,</w:t>
      </w:r>
      <w:r>
        <w:t xml:space="preserve"> there is an additional impact in financial markets, which is that</w:t>
      </w:r>
      <w:r w:rsidR="00185051">
        <w:t xml:space="preserve"> the lender </w:t>
      </w:r>
      <w:r w:rsidR="00404134">
        <w:t xml:space="preserve">itself </w:t>
      </w:r>
      <w:r w:rsidR="00185051">
        <w:t>could be viewed as having been financially weakened</w:t>
      </w:r>
      <w:r w:rsidR="00165ED7">
        <w:t xml:space="preserve"> (</w:t>
      </w:r>
      <w:r>
        <w:t>even though the lender may not have lost any money yet)</w:t>
      </w:r>
      <w:r>
        <w:t>,</w:t>
      </w:r>
      <w:r w:rsidR="00185051">
        <w:t xml:space="preserve"> </w:t>
      </w:r>
      <w:r w:rsidR="00404134">
        <w:t xml:space="preserve">because one of </w:t>
      </w:r>
      <w:r w:rsidR="00A87366">
        <w:t>the lender's</w:t>
      </w:r>
      <w:r w:rsidR="00404134">
        <w:t xml:space="preserve"> assets — the borrower's IOU — has lost value</w:t>
      </w:r>
      <w:r w:rsidR="00185051">
        <w:t>.</w:t>
      </w:r>
      <w:r w:rsidR="00A87366">
        <w:t xml:space="preserve">  Since the lender has probably also borrowed money, the lender's weakened financial state could hurt the financial strength of the institutions it borrowed from</w:t>
      </w:r>
      <w:r w:rsidR="00165ED7">
        <w:t xml:space="preserve"> — a domino effect</w:t>
      </w:r>
      <w:r w:rsidR="00A87366">
        <w:t>.</w:t>
      </w:r>
      <w:r w:rsidR="007D6CD1">
        <w:t xml:space="preserve"> </w:t>
      </w:r>
      <w:r w:rsidR="007C103E">
        <w:t xml:space="preserve"> This can mean that one financial institution's private debt problems are actually a problem for the whole economy and for public policy.</w:t>
      </w:r>
    </w:p>
    <w:p w14:paraId="1FAFE26B" w14:textId="77777777" w:rsidR="00433A28" w:rsidRDefault="00433A28" w:rsidP="003B57E3">
      <w:pPr>
        <w:tabs>
          <w:tab w:val="left" w:pos="1051"/>
        </w:tabs>
      </w:pPr>
    </w:p>
    <w:p w14:paraId="43D60AED" w14:textId="69CE5B5C" w:rsidR="00CA7272" w:rsidRPr="00F67E30" w:rsidRDefault="00CA7272" w:rsidP="003B57E3">
      <w:pPr>
        <w:pStyle w:val="Style1"/>
        <w:keepNext/>
        <w:numPr>
          <w:ilvl w:val="0"/>
          <w:numId w:val="22"/>
        </w:numPr>
      </w:pPr>
    </w:p>
    <w:p w14:paraId="1F0BF930" w14:textId="77777777" w:rsidR="00BC384F" w:rsidRDefault="00BC384F" w:rsidP="003B57E3">
      <w:pPr>
        <w:keepNext/>
        <w:tabs>
          <w:tab w:val="left" w:pos="1051"/>
        </w:tabs>
      </w:pPr>
    </w:p>
    <w:p w14:paraId="005056D4" w14:textId="40BEF3CE" w:rsidR="00433A28" w:rsidRDefault="009E0B7F" w:rsidP="003B57E3">
      <w:pPr>
        <w:tabs>
          <w:tab w:val="left" w:pos="1051"/>
        </w:tabs>
      </w:pPr>
      <w:r>
        <w:t>In a debt crisis, b</w:t>
      </w:r>
      <w:r w:rsidR="008A0FB1">
        <w:t xml:space="preserve">oth </w:t>
      </w:r>
      <w:r w:rsidR="00433A28">
        <w:t>the borrower and the lender(s)</w:t>
      </w:r>
      <w:r w:rsidR="008A0FB1">
        <w:t xml:space="preserve"> may have to adjust and take some losses</w:t>
      </w:r>
      <w:r w:rsidR="00C14B84">
        <w:t>.</w:t>
      </w:r>
      <w:r w:rsidR="00433A28">
        <w:t xml:space="preserve">  </w:t>
      </w:r>
    </w:p>
    <w:p w14:paraId="4DB1458C" w14:textId="77777777" w:rsidR="00433A28" w:rsidRDefault="00433A28" w:rsidP="003B57E3">
      <w:pPr>
        <w:tabs>
          <w:tab w:val="left" w:pos="1051"/>
        </w:tabs>
      </w:pPr>
    </w:p>
    <w:p w14:paraId="139DE22E" w14:textId="77777777" w:rsidR="00175B4D" w:rsidRDefault="00433A28" w:rsidP="003B57E3">
      <w:pPr>
        <w:tabs>
          <w:tab w:val="left" w:pos="1051"/>
        </w:tabs>
      </w:pPr>
      <w:r>
        <w:t xml:space="preserve">"Bankruptcy" is </w:t>
      </w:r>
      <w:r w:rsidR="002F2E10">
        <w:t xml:space="preserve">a term </w:t>
      </w:r>
      <w:r>
        <w:t xml:space="preserve">used </w:t>
      </w:r>
      <w:r w:rsidR="00175B4D">
        <w:t xml:space="preserve">to refer to </w:t>
      </w:r>
      <w:r>
        <w:t>both</w:t>
      </w:r>
      <w:r w:rsidR="00175B4D">
        <w:t>:</w:t>
      </w:r>
      <w:r>
        <w:t xml:space="preserve"> </w:t>
      </w:r>
    </w:p>
    <w:p w14:paraId="62FF3966" w14:textId="2254CC80" w:rsidR="00175B4D" w:rsidRDefault="00175B4D" w:rsidP="003B57E3">
      <w:pPr>
        <w:pStyle w:val="ListParagraph"/>
        <w:widowControl/>
        <w:numPr>
          <w:ilvl w:val="0"/>
          <w:numId w:val="20"/>
        </w:numPr>
        <w:tabs>
          <w:tab w:val="left" w:pos="1051"/>
        </w:tabs>
      </w:pPr>
      <w:r>
        <w:t xml:space="preserve">A situation where </w:t>
      </w:r>
      <w:r w:rsidR="00433A28">
        <w:t>a debtor can't pay</w:t>
      </w:r>
      <w:r>
        <w:t>.</w:t>
      </w:r>
      <w:r w:rsidR="00433A28">
        <w:t xml:space="preserve"> </w:t>
      </w:r>
    </w:p>
    <w:p w14:paraId="0485FFA9" w14:textId="5B9F7998" w:rsidR="00C14B84" w:rsidRDefault="00175B4D" w:rsidP="003B57E3">
      <w:pPr>
        <w:pStyle w:val="ListParagraph"/>
        <w:widowControl/>
        <w:numPr>
          <w:ilvl w:val="0"/>
          <w:numId w:val="20"/>
        </w:numPr>
        <w:tabs>
          <w:tab w:val="left" w:pos="1051"/>
        </w:tabs>
      </w:pPr>
      <w:r>
        <w:t>A</w:t>
      </w:r>
      <w:r w:rsidR="00433A28">
        <w:t xml:space="preserve"> legal system that defines, ahead of time, how losses from a debt crisis will be assigned.  </w:t>
      </w:r>
    </w:p>
    <w:p w14:paraId="3D743CB4" w14:textId="2F498AB3" w:rsidR="00C444E9" w:rsidRDefault="00C444E9" w:rsidP="003B57E3">
      <w:pPr>
        <w:tabs>
          <w:tab w:val="left" w:pos="1051"/>
        </w:tabs>
      </w:pPr>
    </w:p>
    <w:p w14:paraId="335ACF8B" w14:textId="0D96079E" w:rsidR="00C444E9" w:rsidRDefault="00C444E9" w:rsidP="003B57E3">
      <w:pPr>
        <w:tabs>
          <w:tab w:val="left" w:pos="1051"/>
        </w:tabs>
      </w:pPr>
      <w:r>
        <w:t xml:space="preserve">Legal bankruptcy is </w:t>
      </w:r>
      <w:r w:rsidR="002F2E10">
        <w:t xml:space="preserve">still </w:t>
      </w:r>
      <w:r>
        <w:t xml:space="preserve">a crisis in the sense that things can't go on as before and </w:t>
      </w:r>
      <w:r w:rsidR="00C6397D">
        <w:t>must</w:t>
      </w:r>
      <w:r>
        <w:t xml:space="preserve"> change, but on the other hand</w:t>
      </w:r>
      <w:r w:rsidR="002F2E10">
        <w:t xml:space="preserve"> it</w:t>
      </w:r>
      <w:r>
        <w:t xml:space="preserve"> is at least managed according to rules</w:t>
      </w:r>
      <w:r w:rsidR="00C638FE">
        <w:t xml:space="preserve"> that are known in advance</w:t>
      </w:r>
      <w:r>
        <w:t>.</w:t>
      </w:r>
    </w:p>
    <w:p w14:paraId="18D6861D" w14:textId="78E3C8B2" w:rsidR="00C444E9" w:rsidRDefault="00C444E9" w:rsidP="003B57E3">
      <w:pPr>
        <w:tabs>
          <w:tab w:val="left" w:pos="1051"/>
        </w:tabs>
      </w:pPr>
    </w:p>
    <w:p w14:paraId="55973D6A" w14:textId="08A81BDC" w:rsidR="00C444E9" w:rsidRDefault="00C444E9" w:rsidP="003B57E3">
      <w:pPr>
        <w:tabs>
          <w:tab w:val="left" w:pos="1051"/>
        </w:tabs>
      </w:pPr>
      <w:r>
        <w:t>Internationally, one of the main issues of financial management is that there is no legal bankruptcy process for sovereigns.  This means that the process for figuring out who will do what and who will bear the losses of the crisis may be (and often has been) chaotic.</w:t>
      </w:r>
      <w:r w:rsidR="00CA502F">
        <w:t xml:space="preserve"> </w:t>
      </w:r>
    </w:p>
    <w:p w14:paraId="344180B1" w14:textId="4FF2E1DD" w:rsidR="00757B61" w:rsidRDefault="00757B61" w:rsidP="003B57E3">
      <w:pPr>
        <w:tabs>
          <w:tab w:val="left" w:pos="1051"/>
        </w:tabs>
      </w:pPr>
    </w:p>
    <w:p w14:paraId="33CFB3C7" w14:textId="1A11D367" w:rsidR="00757B61" w:rsidRDefault="00757B61" w:rsidP="003B57E3">
      <w:pPr>
        <w:tabs>
          <w:tab w:val="left" w:pos="1051"/>
        </w:tabs>
      </w:pPr>
      <w:r>
        <w:t>A type of debt crisis resolution that cuts off potential domino effects is for a wealthier financial institution to absorb the institution in crisis.  The wealthy institution promises to perform on all the failing institution's commitments, relieving upstream lenders of their risk.  This allows the debt problem to be resolved without panic, which generally means that the failing institution's assets are worth more than they would have been in a panic.  The owners of the wealthy institution gain at the expense of the owners of the failing institution, while the system as a whole is protected.</w:t>
      </w:r>
    </w:p>
    <w:p w14:paraId="0135931F" w14:textId="77777777" w:rsidR="00456583" w:rsidRDefault="00456583" w:rsidP="003B57E3">
      <w:pPr>
        <w:tabs>
          <w:tab w:val="left" w:pos="1051"/>
        </w:tabs>
      </w:pPr>
    </w:p>
    <w:p w14:paraId="06EAD803" w14:textId="53ED7E2D" w:rsidR="00552524" w:rsidRPr="00F67E30" w:rsidRDefault="00552524" w:rsidP="003B57E3">
      <w:pPr>
        <w:pStyle w:val="Style1"/>
        <w:keepNext/>
        <w:numPr>
          <w:ilvl w:val="0"/>
          <w:numId w:val="22"/>
        </w:numPr>
      </w:pPr>
    </w:p>
    <w:p w14:paraId="7A6DB172" w14:textId="77777777" w:rsidR="00552524" w:rsidRDefault="00552524" w:rsidP="003B57E3">
      <w:pPr>
        <w:pStyle w:val="Style1"/>
        <w:keepNext/>
      </w:pPr>
    </w:p>
    <w:p w14:paraId="2164D448" w14:textId="328AAC98" w:rsidR="0017388C" w:rsidRDefault="003B5101" w:rsidP="003B57E3">
      <w:pPr>
        <w:tabs>
          <w:tab w:val="left" w:pos="1051"/>
        </w:tabs>
      </w:pPr>
      <w:r>
        <w:t xml:space="preserve">The case of </w:t>
      </w:r>
      <w:r w:rsidR="006D1455">
        <w:t xml:space="preserve">interconnected </w:t>
      </w:r>
      <w:r>
        <w:t>government and bank debts in southern Europe in 2010</w:t>
      </w:r>
      <w:r w:rsidR="006D1455">
        <w:t xml:space="preserve"> is especially interesting </w:t>
      </w:r>
      <w:r w:rsidR="008A0FB1">
        <w:t>because it took</w:t>
      </w:r>
      <w:r w:rsidR="006D1455">
        <w:t xml:space="preserve"> place in an institutional framework that was incomplete, evolving, and contested.  The main </w:t>
      </w:r>
      <w:r w:rsidR="008A0FB1">
        <w:t xml:space="preserve">lesson for policy makers </w:t>
      </w:r>
      <w:r w:rsidR="004A50B0">
        <w:t>is to</w:t>
      </w:r>
      <w:r w:rsidR="006D1455">
        <w:t xml:space="preserve"> fully develop your institutions</w:t>
      </w:r>
      <w:r w:rsidR="00240B0B">
        <w:t xml:space="preserve"> if you want to avoid crises</w:t>
      </w:r>
      <w:r w:rsidR="004A50B0">
        <w:t>.</w:t>
      </w:r>
    </w:p>
    <w:p w14:paraId="5EAF4A75" w14:textId="05C8520F" w:rsidR="00D67A90" w:rsidRDefault="00D67A90" w:rsidP="003B57E3">
      <w:pPr>
        <w:tabs>
          <w:tab w:val="left" w:pos="1051"/>
        </w:tabs>
      </w:pPr>
    </w:p>
    <w:p w14:paraId="07B96624" w14:textId="2E9D2D09" w:rsidR="006C33EC" w:rsidRDefault="00DA297E" w:rsidP="003B57E3">
      <w:pPr>
        <w:tabs>
          <w:tab w:val="left" w:pos="1051"/>
        </w:tabs>
      </w:pPr>
      <w:r>
        <w:t>Europe's</w:t>
      </w:r>
      <w:r w:rsidR="00D67A90">
        <w:t xml:space="preserve"> case is well covered by </w:t>
      </w:r>
      <w:r w:rsidR="0048538A">
        <w:t>an</w:t>
      </w:r>
      <w:r w:rsidR="00D67A90">
        <w:t xml:space="preserve"> analysis</w:t>
      </w:r>
      <w:r w:rsidR="004A50B0">
        <w:t xml:space="preserve"> titled</w:t>
      </w:r>
      <w:r w:rsidR="00D67A90">
        <w:t xml:space="preserve"> "Rebooting the Eurozone," </w:t>
      </w:r>
      <w:r w:rsidR="001D0B0F">
        <w:t xml:space="preserve">published by </w:t>
      </w:r>
      <w:r w:rsidR="00D67A90">
        <w:t>of a group of economists associated with the London-based Center for Economic Policy Research</w:t>
      </w:r>
      <w:r w:rsidR="00013E4F">
        <w:t xml:space="preserve"> (CEPR)</w:t>
      </w:r>
      <w:r w:rsidR="00D67A90">
        <w:t>.</w:t>
      </w:r>
    </w:p>
    <w:p w14:paraId="2A57D071" w14:textId="77777777" w:rsidR="006C33EC" w:rsidRDefault="006C33EC" w:rsidP="003B57E3">
      <w:pPr>
        <w:tabs>
          <w:tab w:val="left" w:pos="1051"/>
        </w:tabs>
      </w:pPr>
    </w:p>
    <w:p w14:paraId="21FF8DDA" w14:textId="4537E528" w:rsidR="006C33EC" w:rsidRDefault="006C33EC" w:rsidP="003B57E3">
      <w:pPr>
        <w:tabs>
          <w:tab w:val="left" w:pos="1051"/>
        </w:tabs>
        <w:ind w:left="432"/>
      </w:pPr>
      <w:r>
        <w:t xml:space="preserve">Centre for Economic Policy Research, "Rebooting the Eurozone: Step I — agreeing a crisis narrative," CEPR Policy Insight No. 85 (November 2015).  </w:t>
      </w:r>
      <w:hyperlink r:id="rId8" w:history="1">
        <w:r w:rsidRPr="006C33EC">
          <w:rPr>
            <w:rStyle w:val="Hyperlink"/>
          </w:rPr>
          <w:t>https://cepr.org/sites/default/files/policy_insights/PolicyInsight85.pdf</w:t>
        </w:r>
      </w:hyperlink>
    </w:p>
    <w:p w14:paraId="4693B050" w14:textId="77777777" w:rsidR="006C33EC" w:rsidRDefault="006C33EC" w:rsidP="003B57E3">
      <w:pPr>
        <w:tabs>
          <w:tab w:val="left" w:pos="1051"/>
        </w:tabs>
      </w:pPr>
    </w:p>
    <w:p w14:paraId="7100BDF9" w14:textId="1790D29C" w:rsidR="00D67A90" w:rsidRDefault="00013E4F" w:rsidP="003B57E3">
      <w:pPr>
        <w:tabs>
          <w:tab w:val="left" w:pos="1051"/>
        </w:tabs>
      </w:pPr>
      <w:r>
        <w:t>The</w:t>
      </w:r>
      <w:r w:rsidR="000F06B9">
        <w:t xml:space="preserve"> CEPR paper</w:t>
      </w:r>
      <w:r w:rsidR="00713D96">
        <w:t xml:space="preserve"> in Canvas is highlighted for ease of reading</w:t>
      </w:r>
      <w:r w:rsidR="000F06B9">
        <w:t xml:space="preserve">, and the </w:t>
      </w:r>
      <w:r>
        <w:t xml:space="preserve">following slides </w:t>
      </w:r>
      <w:r w:rsidR="000F06B9">
        <w:t xml:space="preserve">and notes </w:t>
      </w:r>
      <w:r>
        <w:t>should be read in conjunction with that analysis.</w:t>
      </w:r>
    </w:p>
    <w:p w14:paraId="7543EB14" w14:textId="77777777" w:rsidR="008F27F7" w:rsidRDefault="008F27F7" w:rsidP="003B57E3">
      <w:pPr>
        <w:tabs>
          <w:tab w:val="left" w:pos="1051"/>
        </w:tabs>
      </w:pPr>
    </w:p>
    <w:p w14:paraId="17E0F8C3" w14:textId="1B085213" w:rsidR="008C6021" w:rsidRPr="00F67E30" w:rsidRDefault="008C6021" w:rsidP="003B57E3">
      <w:pPr>
        <w:pStyle w:val="Style1"/>
        <w:keepNext/>
        <w:numPr>
          <w:ilvl w:val="0"/>
          <w:numId w:val="22"/>
        </w:numPr>
      </w:pPr>
    </w:p>
    <w:p w14:paraId="2CB414BA" w14:textId="77777777" w:rsidR="008C6021" w:rsidRDefault="008C6021" w:rsidP="003B57E3">
      <w:pPr>
        <w:pStyle w:val="Style1"/>
        <w:keepNext/>
      </w:pPr>
    </w:p>
    <w:p w14:paraId="51703052" w14:textId="5786A8F3" w:rsidR="00BD1560" w:rsidRDefault="00F922E7" w:rsidP="003B57E3">
      <w:pPr>
        <w:tabs>
          <w:tab w:val="left" w:pos="1051"/>
        </w:tabs>
      </w:pPr>
      <w:r>
        <w:t xml:space="preserve">With </w:t>
      </w:r>
      <w:r w:rsidR="00C079C4">
        <w:t xml:space="preserve">the creation of the euro and </w:t>
      </w:r>
      <w:r>
        <w:t xml:space="preserve">the </w:t>
      </w:r>
      <w:r w:rsidR="00944313">
        <w:t>elimination of the old currencies' independence</w:t>
      </w:r>
      <w:r>
        <w:t xml:space="preserve"> </w:t>
      </w:r>
      <w:r w:rsidR="00944313">
        <w:t xml:space="preserve">from one another </w:t>
      </w:r>
      <w:r w:rsidR="00BD1560">
        <w:t>in 1999</w:t>
      </w:r>
      <w:r>
        <w:t xml:space="preserve">, currency risk went away within the eurozone (EZ).  Somehow, this was taken to mean that </w:t>
      </w:r>
      <w:r w:rsidR="00097D36">
        <w:t xml:space="preserve">individual borrowers, and in particular banks and sovereigns, couldn't default if they </w:t>
      </w:r>
      <w:r w:rsidR="00C6397D">
        <w:t>were in</w:t>
      </w:r>
      <w:r w:rsidR="00097D36">
        <w:t xml:space="preserve"> the eurozone. </w:t>
      </w:r>
    </w:p>
    <w:p w14:paraId="640C44C6" w14:textId="45B7393F" w:rsidR="004368C6" w:rsidRDefault="004368C6" w:rsidP="003B57E3">
      <w:pPr>
        <w:tabs>
          <w:tab w:val="left" w:pos="1051"/>
        </w:tabs>
      </w:pPr>
    </w:p>
    <w:p w14:paraId="211BED25" w14:textId="3F3ACC0C" w:rsidR="004368C6" w:rsidRDefault="004368C6" w:rsidP="003B57E3">
      <w:pPr>
        <w:tabs>
          <w:tab w:val="left" w:pos="1051"/>
        </w:tabs>
      </w:pPr>
      <w:r>
        <w:t>The CEPR paper's figures 4 and 5 (page 6) show how borrowing in southern Europe expanded.</w:t>
      </w:r>
    </w:p>
    <w:p w14:paraId="43CD4FD9" w14:textId="77777777" w:rsidR="00BD1560" w:rsidRDefault="00BD1560" w:rsidP="003B57E3">
      <w:pPr>
        <w:tabs>
          <w:tab w:val="left" w:pos="1051"/>
        </w:tabs>
      </w:pPr>
    </w:p>
    <w:p w14:paraId="56AEBF71" w14:textId="0AFDA6DA" w:rsidR="00D7259A" w:rsidRPr="00F67E30" w:rsidRDefault="00D7259A" w:rsidP="003B57E3">
      <w:pPr>
        <w:pStyle w:val="Style1"/>
        <w:keepNext/>
        <w:numPr>
          <w:ilvl w:val="0"/>
          <w:numId w:val="22"/>
        </w:numPr>
      </w:pPr>
    </w:p>
    <w:p w14:paraId="08F3443F" w14:textId="77777777" w:rsidR="00D7259A" w:rsidRDefault="00D7259A" w:rsidP="003B57E3">
      <w:pPr>
        <w:pStyle w:val="Style1"/>
        <w:keepNext/>
      </w:pPr>
    </w:p>
    <w:p w14:paraId="2F64CE36" w14:textId="77777777" w:rsidR="002B24A6" w:rsidRDefault="002B24A6" w:rsidP="002B24A6">
      <w:pPr>
        <w:tabs>
          <w:tab w:val="left" w:pos="1051"/>
        </w:tabs>
      </w:pPr>
      <w:r>
        <w:t xml:space="preserve">Assuming there was no default risk was not logical, however. </w:t>
      </w:r>
    </w:p>
    <w:p w14:paraId="60D2CFA6" w14:textId="77777777" w:rsidR="002B24A6" w:rsidRDefault="002B24A6" w:rsidP="002B24A6">
      <w:pPr>
        <w:tabs>
          <w:tab w:val="left" w:pos="1051"/>
        </w:tabs>
      </w:pPr>
    </w:p>
    <w:p w14:paraId="2C263A9E" w14:textId="77777777" w:rsidR="002B24A6" w:rsidRDefault="002B24A6" w:rsidP="002B24A6">
      <w:pPr>
        <w:tabs>
          <w:tab w:val="left" w:pos="1051"/>
        </w:tabs>
      </w:pPr>
      <w:r>
        <w:t>Eurozone d</w:t>
      </w:r>
      <w:r>
        <w:t xml:space="preserve">ebtors were indeed less risky on account of the elimination of currency risk, where a depreciation of the old Italian lira against the old German mark could ruin perfectly good firms. </w:t>
      </w:r>
    </w:p>
    <w:p w14:paraId="0957CC13" w14:textId="77777777" w:rsidR="002B24A6" w:rsidRDefault="002B24A6" w:rsidP="002B24A6">
      <w:pPr>
        <w:tabs>
          <w:tab w:val="left" w:pos="1051"/>
        </w:tabs>
      </w:pPr>
    </w:p>
    <w:p w14:paraId="013B4629" w14:textId="51A385FB" w:rsidR="002B24A6" w:rsidRDefault="002B24A6" w:rsidP="002B24A6">
      <w:pPr>
        <w:tabs>
          <w:tab w:val="left" w:pos="1051"/>
        </w:tabs>
      </w:pPr>
      <w:r>
        <w:t xml:space="preserve">But there was also an increase in a type of systemic risk, produced by the incompleteness of two aspects of Europe's economic institutions.  </w:t>
      </w:r>
    </w:p>
    <w:p w14:paraId="59FF3FC6" w14:textId="77777777" w:rsidR="002B24A6" w:rsidRDefault="002B24A6" w:rsidP="002B24A6">
      <w:pPr>
        <w:pStyle w:val="ListParagraph"/>
        <w:widowControl/>
        <w:numPr>
          <w:ilvl w:val="0"/>
          <w:numId w:val="15"/>
        </w:numPr>
        <w:tabs>
          <w:tab w:val="left" w:pos="1051"/>
        </w:tabs>
      </w:pPr>
      <w:r>
        <w:t xml:space="preserve">The lender-of-last-resort (LOLR) function.  </w:t>
      </w:r>
    </w:p>
    <w:p w14:paraId="303E8791" w14:textId="77777777" w:rsidR="002B24A6" w:rsidRDefault="002B24A6" w:rsidP="002B24A6">
      <w:pPr>
        <w:pStyle w:val="ListParagraph"/>
        <w:widowControl/>
        <w:numPr>
          <w:ilvl w:val="0"/>
          <w:numId w:val="15"/>
        </w:numPr>
        <w:tabs>
          <w:tab w:val="left" w:pos="1051"/>
        </w:tabs>
      </w:pPr>
      <w:r>
        <w:t>The fiscal framework related to LOLR, in particular the flexibility to finance government outlays monetarily.</w:t>
      </w:r>
    </w:p>
    <w:p w14:paraId="69E3958C" w14:textId="77777777" w:rsidR="002B24A6" w:rsidRDefault="002B24A6" w:rsidP="002B24A6">
      <w:pPr>
        <w:tabs>
          <w:tab w:val="left" w:pos="1051"/>
        </w:tabs>
      </w:pPr>
    </w:p>
    <w:p w14:paraId="5F82EDCD" w14:textId="1747D28F" w:rsidR="003617F1" w:rsidRDefault="002B24A6" w:rsidP="003B57E3">
      <w:pPr>
        <w:tabs>
          <w:tab w:val="left" w:pos="1051"/>
        </w:tabs>
      </w:pPr>
      <w:r>
        <w:t>In any case, e</w:t>
      </w:r>
      <w:r w:rsidR="003617F1">
        <w:t xml:space="preserve">ven it was "unthinkable," individuals could obviously still out-borrow and out-spend their incomes.  </w:t>
      </w:r>
    </w:p>
    <w:p w14:paraId="3CE9C8C2" w14:textId="77777777" w:rsidR="003617F1" w:rsidRDefault="003617F1" w:rsidP="003B57E3">
      <w:pPr>
        <w:tabs>
          <w:tab w:val="left" w:pos="1051"/>
        </w:tabs>
      </w:pPr>
    </w:p>
    <w:p w14:paraId="6FC79AE8" w14:textId="68A2CC2A" w:rsidR="003617F1" w:rsidRDefault="003617F1" w:rsidP="003B57E3">
      <w:pPr>
        <w:tabs>
          <w:tab w:val="left" w:pos="1051"/>
        </w:tabs>
      </w:pPr>
      <w:r>
        <w:t xml:space="preserve">And indeed, the exuberance of borrowers and the complacency of lenders after 1999 did result in debt-financed spending </w:t>
      </w:r>
      <w:r w:rsidR="00E70437">
        <w:t xml:space="preserve">in southern Europe </w:t>
      </w:r>
      <w:r>
        <w:t xml:space="preserve">that got various people in over their heads, financially speaking.  </w:t>
      </w:r>
    </w:p>
    <w:p w14:paraId="578EADB7" w14:textId="77777777" w:rsidR="003617F1" w:rsidRDefault="003617F1" w:rsidP="003B57E3">
      <w:pPr>
        <w:tabs>
          <w:tab w:val="left" w:pos="1051"/>
        </w:tabs>
      </w:pPr>
    </w:p>
    <w:p w14:paraId="17AB3401" w14:textId="13687F85" w:rsidR="003617F1" w:rsidRDefault="003617F1" w:rsidP="003B57E3">
      <w:pPr>
        <w:tabs>
          <w:tab w:val="left" w:pos="1051"/>
        </w:tabs>
      </w:pPr>
      <w:r>
        <w:t xml:space="preserve">The exuberance reached a macroeconomic scale, in the sense that the sum of all the </w:t>
      </w:r>
      <w:r w:rsidR="00A93A42">
        <w:t>individual</w:t>
      </w:r>
      <w:r>
        <w:t xml:space="preserve"> entities' spending affected the overall price level, including wages and production costs, in whole regions — mainly </w:t>
      </w:r>
      <w:r w:rsidR="00BF1843">
        <w:t xml:space="preserve">in </w:t>
      </w:r>
      <w:r>
        <w:t>some countries in southern Europe.</w:t>
      </w:r>
    </w:p>
    <w:p w14:paraId="1DF6BAC5" w14:textId="77777777" w:rsidR="003617F1" w:rsidRDefault="003617F1" w:rsidP="003B57E3">
      <w:pPr>
        <w:tabs>
          <w:tab w:val="left" w:pos="1051"/>
        </w:tabs>
      </w:pPr>
    </w:p>
    <w:p w14:paraId="73C17E10" w14:textId="77777777" w:rsidR="00D40FEF" w:rsidRDefault="003617F1" w:rsidP="003B57E3">
      <w:pPr>
        <w:tabs>
          <w:tab w:val="left" w:pos="1051"/>
        </w:tabs>
      </w:pPr>
      <w:r>
        <w:t xml:space="preserve">This put the </w:t>
      </w:r>
      <w:r w:rsidR="00F11A9E">
        <w:t>countries</w:t>
      </w:r>
      <w:r>
        <w:t xml:space="preserve"> into the "structural imbalance" zone where short-term adjustments were not going to be sufficient to restore the ability to meet repayment obligations, and where no local entity</w:t>
      </w:r>
      <w:r w:rsidR="00F11A9E">
        <w:t xml:space="preserve"> — not even the </w:t>
      </w:r>
      <w:r w:rsidR="00AB3DD7">
        <w:t xml:space="preserve">country's </w:t>
      </w:r>
      <w:r w:rsidR="00F11A9E">
        <w:t>government —</w:t>
      </w:r>
      <w:r>
        <w:t xml:space="preserve"> was left with enough resources to refinance (or bail out) the debt. </w:t>
      </w:r>
    </w:p>
    <w:p w14:paraId="745A2E33" w14:textId="77777777" w:rsidR="00D40FEF" w:rsidRDefault="00D40FEF" w:rsidP="003B57E3">
      <w:pPr>
        <w:tabs>
          <w:tab w:val="left" w:pos="1051"/>
        </w:tabs>
      </w:pPr>
    </w:p>
    <w:p w14:paraId="03108C0D" w14:textId="2E772DFD" w:rsidR="00433A28" w:rsidRDefault="00D40FEF" w:rsidP="003B57E3">
      <w:pPr>
        <w:tabs>
          <w:tab w:val="left" w:pos="1051"/>
        </w:tabs>
      </w:pPr>
      <w:r>
        <w:t xml:space="preserve">This was the case mainly in Greece, where banks borrowed from German banks to finance Greek real estate and to finance the Greek government.  </w:t>
      </w:r>
    </w:p>
    <w:p w14:paraId="03C8E854" w14:textId="77777777" w:rsidR="00730755" w:rsidRDefault="00730755" w:rsidP="003B57E3">
      <w:pPr>
        <w:tabs>
          <w:tab w:val="left" w:pos="1051"/>
        </w:tabs>
      </w:pPr>
    </w:p>
    <w:p w14:paraId="2365CE17" w14:textId="32055764" w:rsidR="00BD1560" w:rsidRPr="00F67E30" w:rsidRDefault="00BD1560" w:rsidP="003B57E3">
      <w:pPr>
        <w:pStyle w:val="Style1"/>
        <w:keepNext/>
        <w:numPr>
          <w:ilvl w:val="0"/>
          <w:numId w:val="22"/>
        </w:numPr>
      </w:pPr>
    </w:p>
    <w:p w14:paraId="13A000DB" w14:textId="77777777" w:rsidR="00BD1560" w:rsidRDefault="00BD1560" w:rsidP="003B57E3">
      <w:pPr>
        <w:pStyle w:val="Style1"/>
        <w:keepNext/>
      </w:pPr>
    </w:p>
    <w:p w14:paraId="2D2C0646" w14:textId="746CA4BF" w:rsidR="00BE68F2" w:rsidRDefault="00BE68F2" w:rsidP="00BE68F2">
      <w:pPr>
        <w:tabs>
          <w:tab w:val="left" w:pos="1051"/>
        </w:tabs>
      </w:pPr>
      <w:r>
        <w:t xml:space="preserve">When the economy in Greece turned down, partly as a result of the financial crisis that started in 2008 in the U.S., Greek banks could no longer meet their obligations, and they couldn't turn to the Greek government for aid because the government was dependent on the banks!  </w:t>
      </w:r>
    </w:p>
    <w:p w14:paraId="576CC86C" w14:textId="77777777" w:rsidR="00BE68F2" w:rsidRDefault="00BE68F2" w:rsidP="003B57E3">
      <w:pPr>
        <w:tabs>
          <w:tab w:val="left" w:pos="1051"/>
        </w:tabs>
      </w:pPr>
    </w:p>
    <w:p w14:paraId="7C4D8362" w14:textId="06F92AD4" w:rsidR="00BD1560" w:rsidRDefault="00013E4F" w:rsidP="003B57E3">
      <w:pPr>
        <w:tabs>
          <w:tab w:val="left" w:pos="1051"/>
        </w:tabs>
      </w:pPr>
      <w:r>
        <w:t>The situation burst out into the open in 2009 when the extent of the debt build-up in Greece became public knowledge</w:t>
      </w:r>
      <w:r w:rsidR="00D40FEF">
        <w:t xml:space="preserve"> after having been hidden by Greece's government</w:t>
      </w:r>
      <w:r w:rsidR="00BD1560">
        <w:t>.</w:t>
      </w:r>
      <w:r>
        <w:t xml:space="preserve">  </w:t>
      </w:r>
      <w:r w:rsidR="00D40FEF">
        <w:t>I</w:t>
      </w:r>
      <w:r>
        <w:t xml:space="preserve">nterest rates in </w:t>
      </w:r>
      <w:r w:rsidR="00D40FEF">
        <w:t xml:space="preserve">Greece and other countries in </w:t>
      </w:r>
      <w:r>
        <w:t>southern Europe rose above rates of northern Europe</w:t>
      </w:r>
      <w:r w:rsidR="00D40FEF">
        <w:t>, eliminating the equality</w:t>
      </w:r>
      <w:r w:rsidR="00626A92">
        <w:t xml:space="preserve"> in interest rates across the eurozone</w:t>
      </w:r>
      <w:r>
        <w:t>.</w:t>
      </w:r>
    </w:p>
    <w:p w14:paraId="1FECBFBD" w14:textId="58847C64" w:rsidR="00BE68F2" w:rsidRDefault="00BE68F2" w:rsidP="003B57E3">
      <w:pPr>
        <w:tabs>
          <w:tab w:val="left" w:pos="1051"/>
        </w:tabs>
      </w:pPr>
    </w:p>
    <w:p w14:paraId="6DA4F426" w14:textId="1E5C258C" w:rsidR="00BE68F2" w:rsidRDefault="00BE68F2" w:rsidP="003B57E3">
      <w:pPr>
        <w:tabs>
          <w:tab w:val="left" w:pos="1051"/>
        </w:tabs>
      </w:pPr>
      <w:r>
        <w:t>Some relief was needed from the German side.  This made the crises international.</w:t>
      </w:r>
    </w:p>
    <w:p w14:paraId="44B63EC9" w14:textId="77777777" w:rsidR="00BD1560" w:rsidRDefault="00BD1560" w:rsidP="003B57E3">
      <w:pPr>
        <w:tabs>
          <w:tab w:val="left" w:pos="1051"/>
        </w:tabs>
      </w:pPr>
    </w:p>
    <w:p w14:paraId="62A70573" w14:textId="517C70EC" w:rsidR="00A67C1E" w:rsidRPr="00F67E30" w:rsidRDefault="00A67C1E" w:rsidP="003B57E3">
      <w:pPr>
        <w:pStyle w:val="Style1"/>
        <w:keepNext/>
        <w:numPr>
          <w:ilvl w:val="0"/>
          <w:numId w:val="22"/>
        </w:numPr>
      </w:pPr>
    </w:p>
    <w:p w14:paraId="3C88E56B" w14:textId="77777777" w:rsidR="00A67C1E" w:rsidRDefault="00A67C1E" w:rsidP="003B57E3">
      <w:pPr>
        <w:pStyle w:val="Style1"/>
        <w:keepNext/>
      </w:pPr>
    </w:p>
    <w:p w14:paraId="1315A30B" w14:textId="5751A193" w:rsidR="0026150C" w:rsidRDefault="00744F62" w:rsidP="003B57E3">
      <w:pPr>
        <w:tabs>
          <w:tab w:val="left" w:pos="1051"/>
        </w:tabs>
      </w:pPr>
      <w:r>
        <w:t>The euro as a currency was not affected (although it was talked about)</w:t>
      </w:r>
      <w:r w:rsidR="00D90093">
        <w:t>.</w:t>
      </w:r>
    </w:p>
    <w:p w14:paraId="17E7D48B" w14:textId="33D1956A" w:rsidR="003E3E86" w:rsidRDefault="003E3E86" w:rsidP="003B57E3">
      <w:pPr>
        <w:tabs>
          <w:tab w:val="left" w:pos="1051"/>
        </w:tabs>
      </w:pPr>
    </w:p>
    <w:p w14:paraId="4F8673D4" w14:textId="3B914B45" w:rsidR="00C74052" w:rsidRPr="00F67E30" w:rsidRDefault="00C74052" w:rsidP="003B57E3">
      <w:pPr>
        <w:pStyle w:val="Style1"/>
        <w:keepNext/>
        <w:numPr>
          <w:ilvl w:val="0"/>
          <w:numId w:val="22"/>
        </w:numPr>
      </w:pPr>
    </w:p>
    <w:p w14:paraId="74167729" w14:textId="77777777" w:rsidR="00C74052" w:rsidRDefault="00C74052" w:rsidP="003B57E3">
      <w:pPr>
        <w:pStyle w:val="Style1"/>
        <w:keepNext/>
      </w:pPr>
    </w:p>
    <w:p w14:paraId="414E7CEF" w14:textId="4BE2B11E" w:rsidR="009A7EB4" w:rsidRDefault="00744F62" w:rsidP="003B57E3">
      <w:pPr>
        <w:tabs>
          <w:tab w:val="left" w:pos="1051"/>
        </w:tabs>
      </w:pPr>
      <w:r>
        <w:t>The debt crisis in Europe contrasts with the currency crisis in East Asia, which is one of the other cases that we'll look at</w:t>
      </w:r>
      <w:r w:rsidR="009A7EB4">
        <w:t>.</w:t>
      </w:r>
      <w:r>
        <w:t xml:space="preserve">  The market dumped the Thai baht in 1997 but held onto the euro in 2010.</w:t>
      </w:r>
    </w:p>
    <w:p w14:paraId="5CB634AB" w14:textId="550F69A6" w:rsidR="005039E5" w:rsidRDefault="005039E5" w:rsidP="003B57E3">
      <w:pPr>
        <w:tabs>
          <w:tab w:val="left" w:pos="1051"/>
        </w:tabs>
      </w:pPr>
    </w:p>
    <w:p w14:paraId="0D0D2B20" w14:textId="6E2AC05B" w:rsidR="005039E5" w:rsidRPr="00F67E30" w:rsidRDefault="005039E5" w:rsidP="003B57E3">
      <w:pPr>
        <w:pStyle w:val="Style1"/>
        <w:keepNext/>
        <w:numPr>
          <w:ilvl w:val="0"/>
          <w:numId w:val="22"/>
        </w:numPr>
      </w:pPr>
    </w:p>
    <w:p w14:paraId="4D3C169C" w14:textId="77777777" w:rsidR="005039E5" w:rsidRDefault="005039E5" w:rsidP="003B57E3">
      <w:pPr>
        <w:pStyle w:val="Style1"/>
        <w:keepNext/>
      </w:pPr>
    </w:p>
    <w:p w14:paraId="57A9A55D" w14:textId="45931A59" w:rsidR="0031345D" w:rsidRDefault="005E786C" w:rsidP="003B57E3">
      <w:pPr>
        <w:tabs>
          <w:tab w:val="left" w:pos="1051"/>
        </w:tabs>
      </w:pPr>
      <w:r>
        <w:t xml:space="preserve">What made the situation into a crisis, rather than just a </w:t>
      </w:r>
      <w:r w:rsidR="000C2BE9">
        <w:t>market trend</w:t>
      </w:r>
      <w:r w:rsidR="00E70437">
        <w:t xml:space="preserve"> in interest rates</w:t>
      </w:r>
      <w:r>
        <w:t>, was incomplete institutions</w:t>
      </w:r>
      <w:r w:rsidR="0031345D">
        <w:t>.</w:t>
      </w:r>
      <w:r>
        <w:t xml:space="preserve"> </w:t>
      </w:r>
      <w:r w:rsidR="00C427D6">
        <w:t xml:space="preserve"> Institutional gaps included:</w:t>
      </w:r>
    </w:p>
    <w:p w14:paraId="57C77663" w14:textId="1671CF67" w:rsidR="0031345D" w:rsidRDefault="0031345D" w:rsidP="003B57E3">
      <w:pPr>
        <w:pStyle w:val="ListParagraph"/>
        <w:widowControl/>
        <w:numPr>
          <w:ilvl w:val="0"/>
          <w:numId w:val="23"/>
        </w:numPr>
        <w:tabs>
          <w:tab w:val="left" w:pos="1051"/>
        </w:tabs>
      </w:pPr>
      <w:r>
        <w:t>L</w:t>
      </w:r>
      <w:r w:rsidR="005E786C">
        <w:t>ack of consensus on the role of the monetary authority</w:t>
      </w:r>
      <w:r>
        <w:t xml:space="preserve">, </w:t>
      </w:r>
      <w:r w:rsidR="005E786C">
        <w:t xml:space="preserve">the European Central Bank </w:t>
      </w:r>
      <w:r>
        <w:t>(</w:t>
      </w:r>
      <w:r w:rsidR="005E786C">
        <w:t>ECB)</w:t>
      </w:r>
      <w:r>
        <w:t>.</w:t>
      </w:r>
      <w:r w:rsidR="005E786C">
        <w:t xml:space="preserve"> </w:t>
      </w:r>
    </w:p>
    <w:p w14:paraId="46D15650" w14:textId="2BC16920" w:rsidR="0031345D" w:rsidRDefault="0031345D" w:rsidP="003B57E3">
      <w:pPr>
        <w:pStyle w:val="ListParagraph"/>
        <w:widowControl/>
        <w:numPr>
          <w:ilvl w:val="0"/>
          <w:numId w:val="23"/>
        </w:numPr>
        <w:tabs>
          <w:tab w:val="left" w:pos="1051"/>
        </w:tabs>
      </w:pPr>
      <w:r>
        <w:t>L</w:t>
      </w:r>
      <w:r w:rsidR="005E786C">
        <w:t>ack of a fiscal support mechanism within the EU</w:t>
      </w:r>
      <w:r>
        <w:t xml:space="preserve">, </w:t>
      </w:r>
      <w:r w:rsidR="005E786C">
        <w:t>which would</w:t>
      </w:r>
      <w:r w:rsidR="008869AC">
        <w:t>, if it existed,</w:t>
      </w:r>
      <w:r w:rsidR="005E786C">
        <w:t xml:space="preserve"> be </w:t>
      </w:r>
      <w:r w:rsidR="007E5B47">
        <w:t xml:space="preserve">implemented by </w:t>
      </w:r>
      <w:r w:rsidR="005E786C">
        <w:t xml:space="preserve">the European executive, the European Commission </w:t>
      </w:r>
      <w:r>
        <w:t>(</w:t>
      </w:r>
      <w:r w:rsidR="005E786C">
        <w:t>the EC)</w:t>
      </w:r>
      <w:r>
        <w:t>.</w:t>
      </w:r>
      <w:r w:rsidR="005E786C">
        <w:t xml:space="preserve"> </w:t>
      </w:r>
    </w:p>
    <w:p w14:paraId="71A8EC8C" w14:textId="3A20D5F7" w:rsidR="0031345D" w:rsidRDefault="0031345D" w:rsidP="003B57E3">
      <w:pPr>
        <w:pStyle w:val="ListParagraph"/>
        <w:widowControl/>
        <w:numPr>
          <w:ilvl w:val="0"/>
          <w:numId w:val="23"/>
        </w:numPr>
        <w:tabs>
          <w:tab w:val="left" w:pos="1051"/>
        </w:tabs>
      </w:pPr>
      <w:r>
        <w:t>U</w:t>
      </w:r>
      <w:r w:rsidR="007E5B47">
        <w:t>ncertainty about the role of the IMF in EU affairs</w:t>
      </w:r>
      <w:r>
        <w:t>.</w:t>
      </w:r>
      <w:r w:rsidR="005E786C">
        <w:t xml:space="preserve"> </w:t>
      </w:r>
    </w:p>
    <w:p w14:paraId="7D81717F" w14:textId="3FB02169" w:rsidR="009D6154" w:rsidRDefault="0031345D" w:rsidP="003B57E3">
      <w:pPr>
        <w:pStyle w:val="ListParagraph"/>
        <w:widowControl/>
        <w:numPr>
          <w:ilvl w:val="0"/>
          <w:numId w:val="23"/>
        </w:numPr>
        <w:tabs>
          <w:tab w:val="left" w:pos="1051"/>
        </w:tabs>
      </w:pPr>
      <w:r>
        <w:t>A</w:t>
      </w:r>
      <w:r w:rsidR="005E786C">
        <w:t>bsence of a bankruptcy procedure for sovereigns</w:t>
      </w:r>
      <w:r w:rsidR="00F12CA4">
        <w:t>.</w:t>
      </w:r>
    </w:p>
    <w:p w14:paraId="1C9681F0" w14:textId="55039F1D" w:rsidR="007E5B47" w:rsidRDefault="007E5B47" w:rsidP="003B57E3">
      <w:pPr>
        <w:tabs>
          <w:tab w:val="left" w:pos="1051"/>
        </w:tabs>
      </w:pPr>
    </w:p>
    <w:p w14:paraId="2E2B2E1E" w14:textId="3490ADE1" w:rsidR="002547F3" w:rsidRDefault="007E5B47" w:rsidP="003B57E3">
      <w:pPr>
        <w:tabs>
          <w:tab w:val="left" w:pos="1051"/>
        </w:tabs>
      </w:pPr>
      <w:r>
        <w:t xml:space="preserve">As a result, responses </w:t>
      </w:r>
      <w:r w:rsidR="00E70437">
        <w:t xml:space="preserve">to the debt crises of southern European banks </w:t>
      </w:r>
      <w:r>
        <w:t xml:space="preserve">were improvised.  Besides time pressure, the other reason </w:t>
      </w:r>
      <w:r w:rsidR="002547F3">
        <w:t>for which</w:t>
      </w:r>
      <w:r>
        <w:t xml:space="preserve"> improvisation may not succeed is that questions of principle are confused with particular interests.  </w:t>
      </w:r>
    </w:p>
    <w:p w14:paraId="4DDBC169" w14:textId="1E08A000" w:rsidR="002547F3" w:rsidRDefault="007E5B47" w:rsidP="003B57E3">
      <w:pPr>
        <w:pStyle w:val="ListParagraph"/>
        <w:widowControl/>
        <w:numPr>
          <w:ilvl w:val="0"/>
          <w:numId w:val="17"/>
        </w:numPr>
        <w:tabs>
          <w:tab w:val="left" w:pos="1051"/>
        </w:tabs>
      </w:pPr>
      <w:r>
        <w:t>If a procedure is developed before crises arise, then issues of principle may be dealt with objectively, because participants d</w:t>
      </w:r>
      <w:r w:rsidR="004D5072">
        <w:t>id</w:t>
      </w:r>
      <w:r>
        <w:t xml:space="preserve">n't know which role they </w:t>
      </w:r>
      <w:r w:rsidR="004D5072">
        <w:t>might</w:t>
      </w:r>
      <w:r>
        <w:t xml:space="preserve"> be in when an actual crisis arises</w:t>
      </w:r>
      <w:r w:rsidR="004D5072">
        <w:t xml:space="preserve"> and the procedures are applied</w:t>
      </w:r>
      <w:r>
        <w:t xml:space="preserve">.  </w:t>
      </w:r>
    </w:p>
    <w:p w14:paraId="140059AA" w14:textId="55811440" w:rsidR="007E5B47" w:rsidRDefault="007E5B47" w:rsidP="003B57E3">
      <w:pPr>
        <w:pStyle w:val="ListParagraph"/>
        <w:widowControl/>
        <w:numPr>
          <w:ilvl w:val="0"/>
          <w:numId w:val="17"/>
        </w:numPr>
        <w:tabs>
          <w:tab w:val="left" w:pos="1051"/>
        </w:tabs>
      </w:pPr>
      <w:r>
        <w:t>I</w:t>
      </w:r>
      <w:r w:rsidR="00824773">
        <w:t>n contrast, i</w:t>
      </w:r>
      <w:r>
        <w:t xml:space="preserve">f a procedure is developed during a crisis, </w:t>
      </w:r>
      <w:r w:rsidR="00824773">
        <w:t xml:space="preserve">then </w:t>
      </w:r>
      <w:r>
        <w:t xml:space="preserve">all the participants know how each </w:t>
      </w:r>
      <w:r w:rsidR="004D5072">
        <w:t xml:space="preserve">procedural </w:t>
      </w:r>
      <w:r>
        <w:t>option will affect them and rivalry may override objective</w:t>
      </w:r>
      <w:r w:rsidR="002547F3">
        <w:t xml:space="preserve"> principles.</w:t>
      </w:r>
    </w:p>
    <w:p w14:paraId="193C103A" w14:textId="30473A9E" w:rsidR="002547F3" w:rsidRDefault="002547F3" w:rsidP="003B57E3">
      <w:pPr>
        <w:tabs>
          <w:tab w:val="left" w:pos="1051"/>
        </w:tabs>
      </w:pPr>
    </w:p>
    <w:p w14:paraId="10DF9806" w14:textId="07050818" w:rsidR="00EB0A5A" w:rsidRDefault="0068485D" w:rsidP="003B57E3">
      <w:pPr>
        <w:tabs>
          <w:tab w:val="left" w:pos="1051"/>
        </w:tabs>
      </w:pPr>
      <w:r>
        <w:t xml:space="preserve">Initially, the response </w:t>
      </w:r>
      <w:r w:rsidR="0087237A">
        <w:t>in 20</w:t>
      </w:r>
      <w:r w:rsidR="00D309D2">
        <w:t>10</w:t>
      </w:r>
      <w:r w:rsidR="0087237A">
        <w:t xml:space="preserve"> </w:t>
      </w:r>
      <w:r>
        <w:t xml:space="preserve">was inadequate.  The EC, the ECB, and the IMF did try to work together (as the "Troika"), but for lack of a bankruptcy rule for sovereigns they were conducting a political negotiation where German </w:t>
      </w:r>
      <w:r w:rsidR="00EB0A5A">
        <w:t>leaders</w:t>
      </w:r>
      <w:r>
        <w:t xml:space="preserve"> knew that </w:t>
      </w:r>
      <w:r w:rsidR="00EB0A5A">
        <w:t xml:space="preserve">German banks </w:t>
      </w:r>
      <w:r>
        <w:t xml:space="preserve">were likely to lose from any concessions to the </w:t>
      </w:r>
      <w:r w:rsidR="005F202B">
        <w:t xml:space="preserve">southern European </w:t>
      </w:r>
      <w:r>
        <w:t xml:space="preserve">debtors.  </w:t>
      </w:r>
    </w:p>
    <w:p w14:paraId="2E340FF9" w14:textId="77777777" w:rsidR="00EB0A5A" w:rsidRDefault="00EB0A5A" w:rsidP="003B57E3">
      <w:pPr>
        <w:tabs>
          <w:tab w:val="left" w:pos="1051"/>
        </w:tabs>
      </w:pPr>
    </w:p>
    <w:p w14:paraId="37A0860F" w14:textId="010DDF6D" w:rsidR="002547F3" w:rsidRDefault="00764C8F" w:rsidP="003B57E3">
      <w:pPr>
        <w:tabs>
          <w:tab w:val="left" w:pos="1051"/>
        </w:tabs>
      </w:pPr>
      <w:r>
        <w:t>In any case, t</w:t>
      </w:r>
      <w:r w:rsidR="0068485D">
        <w:t>he Troika did not raise enough financing to end the structural imbalance</w:t>
      </w:r>
      <w:r w:rsidR="00570C9F">
        <w:t xml:space="preserve"> in 2010</w:t>
      </w:r>
      <w:r w:rsidR="0068485D">
        <w:t xml:space="preserve">.  The difference with </w:t>
      </w:r>
      <w:r w:rsidR="00570C9F">
        <w:t xml:space="preserve">crisis response in </w:t>
      </w:r>
      <w:r w:rsidR="0068485D">
        <w:t xml:space="preserve">the U.S., where the Fed </w:t>
      </w:r>
      <w:r w:rsidR="00404EB5">
        <w:t>had been</w:t>
      </w:r>
      <w:r w:rsidR="0068485D">
        <w:t xml:space="preserve"> able to take prompt action, was striking.</w:t>
      </w:r>
    </w:p>
    <w:p w14:paraId="7C539F12" w14:textId="2F0A7E96" w:rsidR="0042572D" w:rsidRDefault="0042572D" w:rsidP="003B57E3">
      <w:pPr>
        <w:tabs>
          <w:tab w:val="left" w:pos="1051"/>
        </w:tabs>
      </w:pPr>
    </w:p>
    <w:p w14:paraId="356D768F" w14:textId="111F21A5" w:rsidR="0042572D" w:rsidRPr="00F67E30" w:rsidRDefault="0042572D" w:rsidP="003B57E3">
      <w:pPr>
        <w:pStyle w:val="Style1"/>
        <w:keepNext/>
        <w:numPr>
          <w:ilvl w:val="0"/>
          <w:numId w:val="22"/>
        </w:numPr>
      </w:pPr>
    </w:p>
    <w:p w14:paraId="436A2C3B" w14:textId="77777777" w:rsidR="0042572D" w:rsidRDefault="0042572D" w:rsidP="003B57E3">
      <w:pPr>
        <w:pStyle w:val="Style1"/>
        <w:keepNext/>
      </w:pPr>
    </w:p>
    <w:p w14:paraId="63F2158B" w14:textId="5DEE4BCA" w:rsidR="000772CE" w:rsidRDefault="004C5192" w:rsidP="003B57E3">
      <w:pPr>
        <w:tabs>
          <w:tab w:val="left" w:pos="1051"/>
        </w:tabs>
      </w:pPr>
      <w:r>
        <w:t>Despite that fact that</w:t>
      </w:r>
      <w:r w:rsidR="001A2FA8">
        <w:t xml:space="preserve"> industry </w:t>
      </w:r>
      <w:r>
        <w:t xml:space="preserve">was </w:t>
      </w:r>
      <w:r w:rsidR="001A2FA8">
        <w:t>suffer</w:t>
      </w:r>
      <w:r>
        <w:t>ing</w:t>
      </w:r>
      <w:r w:rsidR="001A2FA8">
        <w:t xml:space="preserve"> from the lack of private spending due to the debt crisis's continuation in 2010, the industrialized countries decided to cut government spending as well</w:t>
      </w:r>
      <w:r w:rsidR="006F7B53">
        <w:t>.</w:t>
      </w:r>
      <w:r w:rsidR="00623143">
        <w:t xml:space="preserve">  Financial problems spread.</w:t>
      </w:r>
    </w:p>
    <w:p w14:paraId="283177A2" w14:textId="0CC7387A" w:rsidR="0085599B" w:rsidRDefault="0085599B" w:rsidP="003B57E3">
      <w:pPr>
        <w:tabs>
          <w:tab w:val="left" w:pos="1051"/>
        </w:tabs>
      </w:pPr>
    </w:p>
    <w:p w14:paraId="3C5C44ED" w14:textId="633AE4CA" w:rsidR="00DB4698" w:rsidRPr="00F67E30" w:rsidRDefault="00DB4698" w:rsidP="003B57E3">
      <w:pPr>
        <w:pStyle w:val="Style1"/>
        <w:keepNext/>
        <w:numPr>
          <w:ilvl w:val="0"/>
          <w:numId w:val="22"/>
        </w:numPr>
      </w:pPr>
    </w:p>
    <w:p w14:paraId="3ACD1D07" w14:textId="77777777" w:rsidR="00DB4698" w:rsidRDefault="00DB4698" w:rsidP="003B57E3">
      <w:pPr>
        <w:pStyle w:val="Style1"/>
        <w:keepNext/>
      </w:pPr>
    </w:p>
    <w:p w14:paraId="53A26BDC" w14:textId="0DD55D96" w:rsidR="002B31E7" w:rsidRDefault="00684B99" w:rsidP="003B57E3">
      <w:pPr>
        <w:tabs>
          <w:tab w:val="left" w:pos="1051"/>
        </w:tabs>
      </w:pPr>
      <w:r>
        <w:t>The Troika's second effort</w:t>
      </w:r>
      <w:r w:rsidR="00662F19">
        <w:t xml:space="preserve">, </w:t>
      </w:r>
      <w:r w:rsidR="00E87163">
        <w:t xml:space="preserve">which took place </w:t>
      </w:r>
      <w:r>
        <w:t>in a worsening situation in 2011</w:t>
      </w:r>
      <w:r w:rsidR="00662F19">
        <w:t>,</w:t>
      </w:r>
      <w:r>
        <w:t xml:space="preserve"> expanded the package </w:t>
      </w:r>
      <w:r w:rsidR="00062136">
        <w:t xml:space="preserve">of financial support </w:t>
      </w:r>
      <w:r>
        <w:t>by making private lenders contribute</w:t>
      </w:r>
      <w:r w:rsidR="00FB760A">
        <w:t xml:space="preserve"> to the solution</w:t>
      </w:r>
      <w:r>
        <w:t xml:space="preserve"> by accepting some loss</w:t>
      </w:r>
      <w:r w:rsidR="00422EF4">
        <w:t xml:space="preserve"> on their loans</w:t>
      </w:r>
      <w:r w:rsidR="00463F2C">
        <w:t>.</w:t>
      </w:r>
      <w:r>
        <w:t xml:space="preserve">  </w:t>
      </w:r>
    </w:p>
    <w:p w14:paraId="33DAD22A" w14:textId="77777777" w:rsidR="002B31E7" w:rsidRDefault="002B31E7" w:rsidP="003B57E3">
      <w:pPr>
        <w:tabs>
          <w:tab w:val="left" w:pos="1051"/>
        </w:tabs>
      </w:pPr>
    </w:p>
    <w:p w14:paraId="3753C6AC" w14:textId="7FB0770B" w:rsidR="002B31E7" w:rsidRDefault="00684B99" w:rsidP="003B57E3">
      <w:pPr>
        <w:tabs>
          <w:tab w:val="left" w:pos="1051"/>
        </w:tabs>
      </w:pPr>
      <w:r>
        <w:lastRenderedPageBreak/>
        <w:t xml:space="preserve">Private lenders could see that this approach, once it had gotten over the hurdle of political </w:t>
      </w:r>
      <w:r w:rsidR="00B06B32">
        <w:t>acceptability</w:t>
      </w:r>
      <w:r>
        <w:t xml:space="preserve">, could potentially be applied in other cases as well.  They took a second look at other countries in the region, which resulted in credit restraint and higher interest rates </w:t>
      </w:r>
      <w:r w:rsidR="004834E0">
        <w:t>in some of those countries</w:t>
      </w:r>
      <w:r>
        <w:t xml:space="preserve"> also, including in "core" EU economies that hadn't seemed so risky previously.  </w:t>
      </w:r>
    </w:p>
    <w:p w14:paraId="37CA5858" w14:textId="77777777" w:rsidR="002B31E7" w:rsidRDefault="002B31E7" w:rsidP="003B57E3">
      <w:pPr>
        <w:tabs>
          <w:tab w:val="left" w:pos="1051"/>
        </w:tabs>
      </w:pPr>
    </w:p>
    <w:p w14:paraId="7A303E4A" w14:textId="23F98E07" w:rsidR="006F7B53" w:rsidRDefault="00684B99" w:rsidP="003B57E3">
      <w:pPr>
        <w:tabs>
          <w:tab w:val="left" w:pos="1051"/>
        </w:tabs>
      </w:pPr>
      <w:r>
        <w:t>Those higher interest rates only pushed debtors further into the corner, in a vicious cycle known sometimes as financial "contagion</w:t>
      </w:r>
      <w:r w:rsidR="002B31E7">
        <w:t>," where a problem market infects a previously healthy market.</w:t>
      </w:r>
    </w:p>
    <w:p w14:paraId="4B4C6E78" w14:textId="77777777" w:rsidR="00563D4E" w:rsidRDefault="00563D4E" w:rsidP="003B57E3">
      <w:pPr>
        <w:tabs>
          <w:tab w:val="left" w:pos="1051"/>
        </w:tabs>
      </w:pPr>
    </w:p>
    <w:p w14:paraId="58027698" w14:textId="707C652C" w:rsidR="00332566" w:rsidRPr="00F67E30" w:rsidRDefault="00332566" w:rsidP="003B57E3">
      <w:pPr>
        <w:pStyle w:val="Style1"/>
        <w:keepNext/>
        <w:numPr>
          <w:ilvl w:val="0"/>
          <w:numId w:val="22"/>
        </w:numPr>
      </w:pPr>
    </w:p>
    <w:p w14:paraId="718C7B02" w14:textId="77777777" w:rsidR="00332566" w:rsidRDefault="00332566" w:rsidP="003B57E3">
      <w:pPr>
        <w:pStyle w:val="Style1"/>
        <w:keepNext/>
      </w:pPr>
    </w:p>
    <w:p w14:paraId="0D724790" w14:textId="4AAEC390" w:rsidR="001F20A1" w:rsidRDefault="00B11DBA" w:rsidP="003B57E3">
      <w:pPr>
        <w:tabs>
          <w:tab w:val="left" w:pos="1051"/>
        </w:tabs>
      </w:pPr>
      <w:r>
        <w:t>In 2012, after the Troika's two previous efforts had failed, the ECB finally took the next step in institutionalization and announced that it would play the traditional lender-of-last-resort role</w:t>
      </w:r>
      <w:r w:rsidR="00B96CC4">
        <w:t>.</w:t>
      </w:r>
      <w:r>
        <w:t xml:space="preserve">  Where in the U.S. the Fed called its intervention "quantitative easing"</w:t>
      </w:r>
      <w:r w:rsidR="00273459">
        <w:t xml:space="preserve"> (QE),</w:t>
      </w:r>
      <w:r>
        <w:t xml:space="preserve"> the ECB instituted a capacity for </w:t>
      </w:r>
      <w:r w:rsidR="00273459">
        <w:t xml:space="preserve">what it called </w:t>
      </w:r>
      <w:r>
        <w:t>"Outright Monetary Transactions" (OMT).</w:t>
      </w:r>
    </w:p>
    <w:p w14:paraId="348798DA" w14:textId="50FFB5FE" w:rsidR="00B11DBA" w:rsidRDefault="00B11DBA" w:rsidP="003B57E3">
      <w:pPr>
        <w:tabs>
          <w:tab w:val="left" w:pos="1051"/>
        </w:tabs>
      </w:pPr>
    </w:p>
    <w:p w14:paraId="7CF5A018" w14:textId="0D22783D" w:rsidR="00B11DBA" w:rsidRDefault="00B11DBA" w:rsidP="003B57E3">
      <w:pPr>
        <w:tabs>
          <w:tab w:val="left" w:pos="1051"/>
        </w:tabs>
      </w:pPr>
      <w:r>
        <w:t>As is normally the case, the lenders understood that the ECB's new role essentially ended doubt about systemic stability.  Commercial financing resumed, with</w:t>
      </w:r>
      <w:r w:rsidR="00485E6D">
        <w:t>out</w:t>
      </w:r>
      <w:r>
        <w:t xml:space="preserve"> the ECB ever actually having</w:t>
      </w:r>
      <w:r w:rsidR="006E4DA9">
        <w:t xml:space="preserve"> to do any transactions under the OMT.  (This is analogous to IMF resources being held as reserves by the borrower, rather than being spent.)</w:t>
      </w:r>
    </w:p>
    <w:p w14:paraId="06D5BFDA" w14:textId="512DD30E" w:rsidR="005C6A31" w:rsidRDefault="005C6A31" w:rsidP="003B57E3">
      <w:pPr>
        <w:tabs>
          <w:tab w:val="left" w:pos="1051"/>
        </w:tabs>
      </w:pPr>
    </w:p>
    <w:p w14:paraId="29692737" w14:textId="383C3081" w:rsidR="00F32908" w:rsidRPr="00F67E30" w:rsidRDefault="00F32908" w:rsidP="003B57E3">
      <w:pPr>
        <w:pStyle w:val="Style1"/>
        <w:keepNext/>
        <w:numPr>
          <w:ilvl w:val="0"/>
          <w:numId w:val="22"/>
        </w:numPr>
      </w:pPr>
    </w:p>
    <w:p w14:paraId="42124298" w14:textId="77777777" w:rsidR="00F32908" w:rsidRDefault="00F32908" w:rsidP="003B57E3">
      <w:pPr>
        <w:pStyle w:val="Style1"/>
        <w:keepNext/>
      </w:pPr>
    </w:p>
    <w:p w14:paraId="05A616CC" w14:textId="3FF75654" w:rsidR="000A504A" w:rsidRDefault="00C323F1" w:rsidP="003B57E3">
      <w:pPr>
        <w:tabs>
          <w:tab w:val="left" w:pos="1051"/>
        </w:tabs>
      </w:pPr>
      <w:r>
        <w:t xml:space="preserve">Germany conducted a legal campaign against the ECB's </w:t>
      </w:r>
      <w:r w:rsidR="008336FA">
        <w:t>policy</w:t>
      </w:r>
      <w:r>
        <w:t xml:space="preserve">, which failed </w:t>
      </w:r>
      <w:r w:rsidR="001D7A8B">
        <w:t xml:space="preserve">to </w:t>
      </w:r>
      <w:r w:rsidR="008336FA">
        <w:t>stop</w:t>
      </w:r>
      <w:r w:rsidR="001D7A8B">
        <w:t xml:space="preserve"> it</w:t>
      </w:r>
      <w:r w:rsidR="000A504A">
        <w:t>.</w:t>
      </w:r>
    </w:p>
    <w:p w14:paraId="3835F1AA" w14:textId="77777777" w:rsidR="00B539D0" w:rsidRDefault="00B539D0" w:rsidP="003B57E3">
      <w:pPr>
        <w:tabs>
          <w:tab w:val="left" w:pos="1051"/>
        </w:tabs>
      </w:pPr>
    </w:p>
    <w:p w14:paraId="55404083" w14:textId="2FCEBB09" w:rsidR="00F95643" w:rsidRPr="00F67E30" w:rsidRDefault="00F95643" w:rsidP="003B57E3">
      <w:pPr>
        <w:pStyle w:val="Style1"/>
        <w:keepNext/>
        <w:numPr>
          <w:ilvl w:val="0"/>
          <w:numId w:val="22"/>
        </w:numPr>
      </w:pPr>
    </w:p>
    <w:p w14:paraId="1CF7B390" w14:textId="77777777" w:rsidR="00F95643" w:rsidRDefault="00F95643" w:rsidP="003B57E3">
      <w:pPr>
        <w:pStyle w:val="Style1"/>
        <w:keepNext/>
      </w:pPr>
    </w:p>
    <w:p w14:paraId="6AAD31E7" w14:textId="351A4368" w:rsidR="00CC5087" w:rsidRDefault="005634EE" w:rsidP="003B57E3">
      <w:pPr>
        <w:tabs>
          <w:tab w:val="left" w:pos="1051"/>
        </w:tabs>
      </w:pPr>
      <w:r>
        <w:t>T</w:t>
      </w:r>
      <w:r w:rsidR="00C323F1">
        <w:t xml:space="preserve">he EU has taken </w:t>
      </w:r>
      <w:r w:rsidR="00C6397D">
        <w:t>several</w:t>
      </w:r>
      <w:r w:rsidR="00C323F1">
        <w:t xml:space="preserve"> additional steps to institutionalize powers that, in retrospect, they would like to have had in 2009 when Greece's government and banks both simultaneously fell into debt crises</w:t>
      </w:r>
      <w:r w:rsidR="00E221F5">
        <w:t>.</w:t>
      </w:r>
    </w:p>
    <w:p w14:paraId="30AB5CD1" w14:textId="77777777" w:rsidR="002F6161" w:rsidRDefault="002F6161" w:rsidP="003B57E3">
      <w:pPr>
        <w:tabs>
          <w:tab w:val="left" w:pos="1051"/>
        </w:tabs>
      </w:pPr>
    </w:p>
    <w:p w14:paraId="74BB6EFA" w14:textId="1566F60D" w:rsidR="00436ED2" w:rsidRPr="00F67E30" w:rsidRDefault="00436ED2" w:rsidP="003B57E3">
      <w:pPr>
        <w:pStyle w:val="Style1"/>
        <w:keepNext/>
        <w:numPr>
          <w:ilvl w:val="0"/>
          <w:numId w:val="22"/>
        </w:numPr>
      </w:pPr>
    </w:p>
    <w:p w14:paraId="559D575E" w14:textId="77777777" w:rsidR="00436ED2" w:rsidRPr="000807D8" w:rsidRDefault="00436ED2" w:rsidP="003B57E3">
      <w:pPr>
        <w:pStyle w:val="Style1"/>
        <w:keepNext/>
        <w:rPr>
          <w:bCs/>
        </w:rPr>
      </w:pPr>
    </w:p>
    <w:p w14:paraId="5AEE0E3D" w14:textId="4AF01BE4" w:rsidR="00004D32" w:rsidRDefault="00004D32" w:rsidP="003B57E3">
      <w:pPr>
        <w:pStyle w:val="Style1"/>
        <w:rPr>
          <w:bCs/>
        </w:rPr>
      </w:pPr>
      <w:r>
        <w:rPr>
          <w:bCs/>
        </w:rPr>
        <w:t xml:space="preserve">Banks traditionally have mostly held their reserves in the form of bonds of their </w:t>
      </w:r>
      <w:r w:rsidR="005634EE">
        <w:rPr>
          <w:bCs/>
        </w:rPr>
        <w:t>own</w:t>
      </w:r>
      <w:r>
        <w:rPr>
          <w:bCs/>
        </w:rPr>
        <w:t xml:space="preserve"> national government.  As a result, a government debt problem weakens the banks also.  Since governments in turn have traditionally borrowed from banks, </w:t>
      </w:r>
      <w:r w:rsidR="00FA13D8">
        <w:rPr>
          <w:bCs/>
        </w:rPr>
        <w:t xml:space="preserve">a </w:t>
      </w:r>
      <w:r>
        <w:rPr>
          <w:bCs/>
        </w:rPr>
        <w:t>weakened bank</w:t>
      </w:r>
      <w:r w:rsidR="00FA13D8">
        <w:rPr>
          <w:bCs/>
        </w:rPr>
        <w:t>ing sector</w:t>
      </w:r>
      <w:r>
        <w:rPr>
          <w:bCs/>
        </w:rPr>
        <w:t xml:space="preserve"> put</w:t>
      </w:r>
      <w:r w:rsidR="00FA13D8">
        <w:rPr>
          <w:bCs/>
        </w:rPr>
        <w:t>s</w:t>
      </w:r>
      <w:r>
        <w:rPr>
          <w:bCs/>
        </w:rPr>
        <w:t xml:space="preserve"> the government in a weaker position.  In a crisis, this </w:t>
      </w:r>
      <w:r w:rsidR="00FB5341">
        <w:rPr>
          <w:bCs/>
        </w:rPr>
        <w:t xml:space="preserve">feedback between a government and the banks in that country </w:t>
      </w:r>
      <w:r>
        <w:rPr>
          <w:bCs/>
        </w:rPr>
        <w:t xml:space="preserve">becomes </w:t>
      </w:r>
      <w:r w:rsidR="0043397D">
        <w:rPr>
          <w:bCs/>
        </w:rPr>
        <w:t xml:space="preserve">a </w:t>
      </w:r>
      <w:r>
        <w:rPr>
          <w:bCs/>
        </w:rPr>
        <w:t>"doom loop."</w:t>
      </w:r>
    </w:p>
    <w:p w14:paraId="511C0635" w14:textId="77777777" w:rsidR="00004D32" w:rsidRDefault="00004D32" w:rsidP="003B57E3">
      <w:pPr>
        <w:pStyle w:val="Style1"/>
        <w:rPr>
          <w:bCs/>
        </w:rPr>
      </w:pPr>
    </w:p>
    <w:p w14:paraId="63AA1427" w14:textId="665761B8" w:rsidR="00F778A0" w:rsidRPr="000807D8" w:rsidRDefault="00004D32" w:rsidP="003B57E3">
      <w:pPr>
        <w:pStyle w:val="Style1"/>
        <w:rPr>
          <w:bCs/>
        </w:rPr>
      </w:pPr>
      <w:r>
        <w:rPr>
          <w:bCs/>
        </w:rPr>
        <w:t>To insulate banks from problems with their home governments' debts, several proposals for EU-wide bonds — either private or official — have been made over the last decade</w:t>
      </w:r>
      <w:r w:rsidR="00F778A0">
        <w:rPr>
          <w:bCs/>
        </w:rPr>
        <w:t>.</w:t>
      </w:r>
      <w:r>
        <w:rPr>
          <w:bCs/>
        </w:rPr>
        <w:t xml:space="preserve">  As bank reserves, </w:t>
      </w:r>
      <w:r w:rsidR="005634EE">
        <w:rPr>
          <w:bCs/>
        </w:rPr>
        <w:t>such bonds</w:t>
      </w:r>
      <w:r>
        <w:rPr>
          <w:bCs/>
        </w:rPr>
        <w:t xml:space="preserve"> would keep banks solid when their home government's bonds depreciate.</w:t>
      </w:r>
    </w:p>
    <w:p w14:paraId="07693A3E" w14:textId="77777777" w:rsidR="00787BD5" w:rsidRPr="000807D8" w:rsidRDefault="00787BD5" w:rsidP="003B57E3">
      <w:pPr>
        <w:pStyle w:val="Style1"/>
        <w:rPr>
          <w:bCs/>
        </w:rPr>
      </w:pPr>
    </w:p>
    <w:p w14:paraId="44CB6529" w14:textId="1B13AF7C" w:rsidR="00CB0AA5" w:rsidRPr="00F67E30" w:rsidRDefault="00CB0AA5" w:rsidP="003B57E3">
      <w:pPr>
        <w:pStyle w:val="Style1"/>
        <w:keepNext/>
        <w:numPr>
          <w:ilvl w:val="0"/>
          <w:numId w:val="22"/>
        </w:numPr>
      </w:pPr>
    </w:p>
    <w:p w14:paraId="49F4AB3D" w14:textId="77777777" w:rsidR="00CB0AA5" w:rsidRDefault="00CB0AA5" w:rsidP="003B57E3">
      <w:pPr>
        <w:pStyle w:val="Style1"/>
        <w:keepNext/>
      </w:pPr>
    </w:p>
    <w:p w14:paraId="2E8C4380" w14:textId="79375416" w:rsidR="00752C81" w:rsidRDefault="00004D32" w:rsidP="003B57E3">
      <w:pPr>
        <w:pStyle w:val="Style1"/>
        <w:rPr>
          <w:bCs/>
        </w:rPr>
      </w:pPr>
      <w:r>
        <w:rPr>
          <w:bCs/>
        </w:rPr>
        <w:t xml:space="preserve">Note also that the EZ could have benefited in the crisis if </w:t>
      </w:r>
      <w:r w:rsidR="006856FD">
        <w:rPr>
          <w:bCs/>
        </w:rPr>
        <w:t xml:space="preserve">there had been a </w:t>
      </w:r>
      <w:r>
        <w:rPr>
          <w:bCs/>
        </w:rPr>
        <w:t xml:space="preserve">sovereign bankruptcy </w:t>
      </w:r>
      <w:r w:rsidR="006856FD">
        <w:rPr>
          <w:bCs/>
        </w:rPr>
        <w:t xml:space="preserve">procedure, </w:t>
      </w:r>
      <w:r>
        <w:rPr>
          <w:bCs/>
        </w:rPr>
        <w:t xml:space="preserve">and </w:t>
      </w:r>
      <w:r w:rsidR="006856FD">
        <w:rPr>
          <w:bCs/>
        </w:rPr>
        <w:t xml:space="preserve">if </w:t>
      </w:r>
      <w:r>
        <w:rPr>
          <w:bCs/>
        </w:rPr>
        <w:t xml:space="preserve">the IMF as </w:t>
      </w:r>
      <w:r w:rsidR="006856FD">
        <w:rPr>
          <w:bCs/>
        </w:rPr>
        <w:t xml:space="preserve">had </w:t>
      </w:r>
      <w:r>
        <w:rPr>
          <w:bCs/>
        </w:rPr>
        <w:t xml:space="preserve">had </w:t>
      </w:r>
      <w:r w:rsidR="006856FD">
        <w:rPr>
          <w:bCs/>
        </w:rPr>
        <w:t>more resources and a clearer role with the EU</w:t>
      </w:r>
      <w:r w:rsidR="00405021">
        <w:rPr>
          <w:bCs/>
        </w:rPr>
        <w:t>.</w:t>
      </w:r>
    </w:p>
    <w:p w14:paraId="7BA81002" w14:textId="797B14FC" w:rsidR="00E1009E" w:rsidRDefault="00E1009E" w:rsidP="003B57E3">
      <w:pPr>
        <w:pStyle w:val="Style1"/>
        <w:rPr>
          <w:bCs/>
        </w:rPr>
      </w:pPr>
    </w:p>
    <w:p w14:paraId="2E0E7256" w14:textId="31E17463" w:rsidR="00436ED2" w:rsidRPr="00F67E30" w:rsidRDefault="00436ED2" w:rsidP="003B57E3">
      <w:pPr>
        <w:pStyle w:val="Style1"/>
        <w:keepNext/>
        <w:numPr>
          <w:ilvl w:val="0"/>
          <w:numId w:val="22"/>
        </w:numPr>
      </w:pPr>
    </w:p>
    <w:p w14:paraId="7B452701" w14:textId="77777777" w:rsidR="00436ED2" w:rsidRDefault="00436ED2" w:rsidP="003B57E3">
      <w:pPr>
        <w:pStyle w:val="Style1"/>
        <w:keepNext/>
      </w:pPr>
    </w:p>
    <w:p w14:paraId="023E61CA" w14:textId="17051947" w:rsidR="00B96D06" w:rsidRDefault="00B96D06" w:rsidP="00B96D06">
      <w:pPr>
        <w:keepNext/>
        <w:tabs>
          <w:tab w:val="left" w:pos="1051"/>
        </w:tabs>
        <w:rPr>
          <w:b/>
        </w:rPr>
      </w:pPr>
      <w:r>
        <w:rPr>
          <w:b/>
        </w:rPr>
        <w:t>A Liquiquity Crisis</w:t>
      </w:r>
      <w:r w:rsidR="006258C0">
        <w:rPr>
          <w:b/>
        </w:rPr>
        <w:t>: The U.S. 2008</w:t>
      </w:r>
    </w:p>
    <w:p w14:paraId="51D8A318" w14:textId="77777777" w:rsidR="00B96D06" w:rsidRDefault="00B96D06" w:rsidP="00B96D06">
      <w:pPr>
        <w:keepNext/>
        <w:tabs>
          <w:tab w:val="left" w:pos="1051"/>
        </w:tabs>
        <w:rPr>
          <w:bCs/>
        </w:rPr>
      </w:pPr>
    </w:p>
    <w:p w14:paraId="15F4B174" w14:textId="2D355CD4" w:rsidR="00247949" w:rsidRDefault="00AB444E" w:rsidP="003B57E3">
      <w:pPr>
        <w:tabs>
          <w:tab w:val="left" w:pos="1051"/>
        </w:tabs>
        <w:rPr>
          <w:bCs/>
        </w:rPr>
      </w:pPr>
      <w:r w:rsidRPr="00B96D06">
        <w:rPr>
          <w:bCs/>
        </w:rPr>
        <w:t>Moving</w:t>
      </w:r>
      <w:r>
        <w:rPr>
          <w:bCs/>
        </w:rPr>
        <w:t xml:space="preserve"> on to the subject of liquidity crises, first note that </w:t>
      </w:r>
      <w:r w:rsidR="00247949">
        <w:rPr>
          <w:bCs/>
        </w:rPr>
        <w:t>certain</w:t>
      </w:r>
      <w:r w:rsidR="00004D32">
        <w:rPr>
          <w:bCs/>
        </w:rPr>
        <w:t xml:space="preserve"> financial asset</w:t>
      </w:r>
      <w:r w:rsidR="00247949">
        <w:rPr>
          <w:bCs/>
        </w:rPr>
        <w:t>s are</w:t>
      </w:r>
      <w:r w:rsidR="00004D32">
        <w:rPr>
          <w:bCs/>
        </w:rPr>
        <w:t xml:space="preserve"> used as a reserve or as collateral</w:t>
      </w:r>
      <w:r w:rsidR="00247949">
        <w:rPr>
          <w:bCs/>
        </w:rPr>
        <w:t xml:space="preserve"> for </w:t>
      </w:r>
      <w:r w:rsidR="00641592">
        <w:rPr>
          <w:bCs/>
        </w:rPr>
        <w:t xml:space="preserve">financial </w:t>
      </w:r>
      <w:r w:rsidR="00247949">
        <w:rPr>
          <w:bCs/>
        </w:rPr>
        <w:t xml:space="preserve">operations. </w:t>
      </w:r>
      <w:r w:rsidR="003C315E">
        <w:rPr>
          <w:bCs/>
        </w:rPr>
        <w:t xml:space="preserve"> </w:t>
      </w:r>
    </w:p>
    <w:p w14:paraId="6226B499" w14:textId="77777777" w:rsidR="00247949" w:rsidRDefault="00247949" w:rsidP="003B57E3">
      <w:pPr>
        <w:tabs>
          <w:tab w:val="left" w:pos="1051"/>
        </w:tabs>
        <w:rPr>
          <w:bCs/>
        </w:rPr>
      </w:pPr>
    </w:p>
    <w:p w14:paraId="581D9EB5" w14:textId="1E921DFF" w:rsidR="00980125" w:rsidRDefault="00247949" w:rsidP="003B57E3">
      <w:pPr>
        <w:tabs>
          <w:tab w:val="left" w:pos="1051"/>
        </w:tabs>
        <w:rPr>
          <w:bCs/>
        </w:rPr>
      </w:pPr>
      <w:r>
        <w:rPr>
          <w:bCs/>
        </w:rPr>
        <w:t xml:space="preserve">A shortage </w:t>
      </w:r>
      <w:r w:rsidR="003C315E">
        <w:rPr>
          <w:bCs/>
        </w:rPr>
        <w:t xml:space="preserve">of those reserve assets </w:t>
      </w:r>
      <w:r>
        <w:rPr>
          <w:bCs/>
        </w:rPr>
        <w:t xml:space="preserve">can have an especially strong impact </w:t>
      </w:r>
      <w:r w:rsidR="00641592">
        <w:rPr>
          <w:bCs/>
        </w:rPr>
        <w:t>when</w:t>
      </w:r>
      <w:r>
        <w:rPr>
          <w:bCs/>
        </w:rPr>
        <w:t xml:space="preserve"> financial institutions</w:t>
      </w:r>
      <w:r w:rsidR="00641592">
        <w:rPr>
          <w:bCs/>
        </w:rPr>
        <w:t xml:space="preserve"> are highly</w:t>
      </w:r>
      <w:r>
        <w:rPr>
          <w:bCs/>
        </w:rPr>
        <w:t xml:space="preserve"> leverage</w:t>
      </w:r>
      <w:r w:rsidR="00641592">
        <w:rPr>
          <w:bCs/>
        </w:rPr>
        <w:t>d — working with little capital relative to the size of their borrowing — which</w:t>
      </w:r>
      <w:r>
        <w:rPr>
          <w:bCs/>
        </w:rPr>
        <w:t xml:space="preserve"> magnifies the impact of changes in their </w:t>
      </w:r>
      <w:r w:rsidR="00641592">
        <w:rPr>
          <w:bCs/>
        </w:rPr>
        <w:t>ability to raise f</w:t>
      </w:r>
      <w:r>
        <w:rPr>
          <w:bCs/>
        </w:rPr>
        <w:t>unding.</w:t>
      </w:r>
    </w:p>
    <w:p w14:paraId="561C3FA5" w14:textId="14C26F97" w:rsidR="00247949" w:rsidRDefault="00247949" w:rsidP="003B57E3">
      <w:pPr>
        <w:tabs>
          <w:tab w:val="left" w:pos="1051"/>
        </w:tabs>
        <w:rPr>
          <w:bCs/>
        </w:rPr>
      </w:pPr>
    </w:p>
    <w:p w14:paraId="023FB4BF" w14:textId="75A2E3DE" w:rsidR="00247949" w:rsidRDefault="00247949" w:rsidP="003B57E3">
      <w:pPr>
        <w:tabs>
          <w:tab w:val="left" w:pos="1051"/>
        </w:tabs>
        <w:rPr>
          <w:bCs/>
        </w:rPr>
      </w:pPr>
      <w:r>
        <w:rPr>
          <w:bCs/>
        </w:rPr>
        <w:t>So, if a crisis arises in a financial asset that is used as a base for banking operations, the impacts go beyond just the financial institutions who own the asset: the whole banking and financial system can be affected.</w:t>
      </w:r>
    </w:p>
    <w:p w14:paraId="050CB975" w14:textId="54337014" w:rsidR="00247949" w:rsidRDefault="00247949" w:rsidP="003B57E3">
      <w:pPr>
        <w:tabs>
          <w:tab w:val="left" w:pos="1051"/>
        </w:tabs>
        <w:rPr>
          <w:bCs/>
        </w:rPr>
      </w:pPr>
    </w:p>
    <w:p w14:paraId="55192D0D" w14:textId="414C591D" w:rsidR="00704845" w:rsidRPr="00F67E30" w:rsidRDefault="00704845" w:rsidP="003B57E3">
      <w:pPr>
        <w:pStyle w:val="Style1"/>
        <w:keepNext/>
        <w:numPr>
          <w:ilvl w:val="0"/>
          <w:numId w:val="22"/>
        </w:numPr>
      </w:pPr>
    </w:p>
    <w:p w14:paraId="41E21CDF" w14:textId="77777777" w:rsidR="00704845" w:rsidRDefault="00704845" w:rsidP="003B57E3">
      <w:pPr>
        <w:pStyle w:val="Style1"/>
        <w:keepNext/>
      </w:pPr>
    </w:p>
    <w:p w14:paraId="549252ED" w14:textId="46B91A36" w:rsidR="0053401A" w:rsidRDefault="0053401A" w:rsidP="003B57E3">
      <w:pPr>
        <w:tabs>
          <w:tab w:val="left" w:pos="1051"/>
        </w:tabs>
      </w:pPr>
      <w:r>
        <w:rPr>
          <w:bCs/>
        </w:rPr>
        <w:t xml:space="preserve">Such crises afflicted U.S. </w:t>
      </w:r>
      <w:r w:rsidR="00AB444E">
        <w:rPr>
          <w:bCs/>
        </w:rPr>
        <w:t xml:space="preserve">banks </w:t>
      </w:r>
      <w:r>
        <w:rPr>
          <w:bCs/>
        </w:rPr>
        <w:t xml:space="preserve">throughout the 1800s, </w:t>
      </w:r>
      <w:r w:rsidR="004D78DF">
        <w:rPr>
          <w:bCs/>
        </w:rPr>
        <w:t xml:space="preserve">as well as </w:t>
      </w:r>
      <w:r>
        <w:rPr>
          <w:bCs/>
        </w:rPr>
        <w:t xml:space="preserve">the </w:t>
      </w:r>
      <w:r w:rsidR="004D78DF">
        <w:rPr>
          <w:bCs/>
        </w:rPr>
        <w:t xml:space="preserve">European </w:t>
      </w:r>
      <w:r>
        <w:rPr>
          <w:bCs/>
        </w:rPr>
        <w:t xml:space="preserve">central bank reserve market in the 1930s, the </w:t>
      </w:r>
      <w:r w:rsidR="004D78DF">
        <w:rPr>
          <w:bCs/>
        </w:rPr>
        <w:t xml:space="preserve">U.S. </w:t>
      </w:r>
      <w:r>
        <w:rPr>
          <w:bCs/>
        </w:rPr>
        <w:t xml:space="preserve">"shadow banking" system in </w:t>
      </w:r>
      <w:r w:rsidR="00181DBE">
        <w:rPr>
          <w:bCs/>
        </w:rPr>
        <w:t>2007-2009</w:t>
      </w:r>
      <w:r>
        <w:rPr>
          <w:bCs/>
        </w:rPr>
        <w:t>, and mini-currencies around the world</w:t>
      </w:r>
      <w:r w:rsidR="00AB444E">
        <w:rPr>
          <w:bCs/>
        </w:rPr>
        <w:t xml:space="preserve"> over the past generation</w:t>
      </w:r>
      <w:r>
        <w:rPr>
          <w:bCs/>
        </w:rPr>
        <w:t>.</w:t>
      </w:r>
    </w:p>
    <w:p w14:paraId="0C843547" w14:textId="77777777" w:rsidR="0053401A" w:rsidRDefault="0053401A" w:rsidP="003B57E3">
      <w:pPr>
        <w:tabs>
          <w:tab w:val="left" w:pos="1051"/>
        </w:tabs>
        <w:rPr>
          <w:bCs/>
        </w:rPr>
      </w:pPr>
    </w:p>
    <w:p w14:paraId="7FDC4DB8" w14:textId="12051B0A" w:rsidR="00787BD5" w:rsidRPr="00F67E30" w:rsidRDefault="00787BD5" w:rsidP="003B57E3">
      <w:pPr>
        <w:pStyle w:val="Style1"/>
        <w:keepNext/>
        <w:numPr>
          <w:ilvl w:val="0"/>
          <w:numId w:val="22"/>
        </w:numPr>
      </w:pPr>
    </w:p>
    <w:p w14:paraId="498AFDD9" w14:textId="77777777" w:rsidR="000E20E5" w:rsidRDefault="000E20E5" w:rsidP="003B57E3">
      <w:pPr>
        <w:keepNext/>
        <w:tabs>
          <w:tab w:val="left" w:pos="1051"/>
        </w:tabs>
      </w:pPr>
    </w:p>
    <w:p w14:paraId="6D43B389" w14:textId="1C827E16" w:rsidR="0053401A" w:rsidRDefault="0053401A" w:rsidP="003B57E3">
      <w:pPr>
        <w:tabs>
          <w:tab w:val="left" w:pos="1051"/>
        </w:tabs>
        <w:rPr>
          <w:bCs/>
        </w:rPr>
      </w:pPr>
      <w:r>
        <w:rPr>
          <w:bCs/>
        </w:rPr>
        <w:t>Since financial institutions rely substantially on confidence for their leverage</w:t>
      </w:r>
      <w:r w:rsidR="00334149">
        <w:rPr>
          <w:bCs/>
        </w:rPr>
        <w:t>, p</w:t>
      </w:r>
      <w:r w:rsidR="00BF6C65">
        <w:rPr>
          <w:bCs/>
        </w:rPr>
        <w:t xml:space="preserve">rompt and sufficient </w:t>
      </w:r>
      <w:r>
        <w:rPr>
          <w:bCs/>
        </w:rPr>
        <w:t xml:space="preserve">support </w:t>
      </w:r>
      <w:r w:rsidR="00BF6C65">
        <w:rPr>
          <w:bCs/>
        </w:rPr>
        <w:t>from a trusted source</w:t>
      </w:r>
      <w:r>
        <w:rPr>
          <w:bCs/>
        </w:rPr>
        <w:t xml:space="preserve"> can prevent panic and avoid crises.</w:t>
      </w:r>
    </w:p>
    <w:p w14:paraId="594B8A2D" w14:textId="77777777" w:rsidR="0053401A" w:rsidRDefault="0053401A" w:rsidP="003B57E3">
      <w:pPr>
        <w:tabs>
          <w:tab w:val="left" w:pos="1051"/>
        </w:tabs>
        <w:rPr>
          <w:bCs/>
        </w:rPr>
      </w:pPr>
    </w:p>
    <w:p w14:paraId="4200C07B" w14:textId="1538D7B7" w:rsidR="0053401A" w:rsidRPr="003F6700" w:rsidRDefault="0053401A" w:rsidP="003B57E3">
      <w:pPr>
        <w:tabs>
          <w:tab w:val="left" w:pos="1051"/>
        </w:tabs>
        <w:rPr>
          <w:bCs/>
        </w:rPr>
      </w:pPr>
      <w:r>
        <w:rPr>
          <w:bCs/>
        </w:rPr>
        <w:t xml:space="preserve">The source of support and the nature of the asset provided to the financial institution depends on the institution.  </w:t>
      </w:r>
      <w:r w:rsidR="004D5860">
        <w:rPr>
          <w:bCs/>
        </w:rPr>
        <w:t>To prevent panic from closing one particular bank, the b</w:t>
      </w:r>
      <w:r>
        <w:rPr>
          <w:bCs/>
        </w:rPr>
        <w:t>anks</w:t>
      </w:r>
      <w:r w:rsidR="004D5860">
        <w:rPr>
          <w:bCs/>
        </w:rPr>
        <w:t xml:space="preserve"> as a group</w:t>
      </w:r>
      <w:r>
        <w:rPr>
          <w:bCs/>
        </w:rPr>
        <w:t xml:space="preserve"> can support each other, as for example through a jointly established deposit insurance company.  </w:t>
      </w:r>
      <w:r w:rsidR="004D5860">
        <w:rPr>
          <w:bCs/>
        </w:rPr>
        <w:t>If conditions are affecting many banks,</w:t>
      </w:r>
      <w:r>
        <w:rPr>
          <w:bCs/>
        </w:rPr>
        <w:t xml:space="preserve"> they can get support from an official central bank (</w:t>
      </w:r>
      <w:r w:rsidR="00F82072">
        <w:rPr>
          <w:bCs/>
        </w:rPr>
        <w:t xml:space="preserve">a </w:t>
      </w:r>
      <w:r>
        <w:rPr>
          <w:bCs/>
        </w:rPr>
        <w:t xml:space="preserve">lender of last resort) in the form of official reserves.  </w:t>
      </w:r>
      <w:r w:rsidR="004D5860">
        <w:rPr>
          <w:bCs/>
        </w:rPr>
        <w:t>If the</w:t>
      </w:r>
      <w:r>
        <w:rPr>
          <w:bCs/>
        </w:rPr>
        <w:t xml:space="preserve"> country's central bank</w:t>
      </w:r>
      <w:r w:rsidR="004D5860">
        <w:rPr>
          <w:bCs/>
        </w:rPr>
        <w:t xml:space="preserve"> runs short of </w:t>
      </w:r>
      <w:r w:rsidR="00094BDF">
        <w:rPr>
          <w:bCs/>
        </w:rPr>
        <w:t xml:space="preserve">external </w:t>
      </w:r>
      <w:r w:rsidR="004D5860">
        <w:rPr>
          <w:bCs/>
        </w:rPr>
        <w:t>reserves, it</w:t>
      </w:r>
      <w:r>
        <w:rPr>
          <w:bCs/>
        </w:rPr>
        <w:t xml:space="preserve"> can get support from the IMF in the form of global reserve currencies.</w:t>
      </w:r>
    </w:p>
    <w:p w14:paraId="31E50A3F" w14:textId="77777777" w:rsidR="0053401A" w:rsidRDefault="0053401A" w:rsidP="003B57E3">
      <w:pPr>
        <w:tabs>
          <w:tab w:val="left" w:pos="1051"/>
        </w:tabs>
      </w:pPr>
    </w:p>
    <w:p w14:paraId="4436F246" w14:textId="37292D74" w:rsidR="00787BD5" w:rsidRPr="00F67E30" w:rsidRDefault="00787BD5" w:rsidP="003B57E3">
      <w:pPr>
        <w:pStyle w:val="Style1"/>
        <w:keepNext/>
        <w:numPr>
          <w:ilvl w:val="0"/>
          <w:numId w:val="22"/>
        </w:numPr>
      </w:pPr>
    </w:p>
    <w:p w14:paraId="0AF93AAE" w14:textId="77777777" w:rsidR="00787BD5" w:rsidRDefault="00787BD5" w:rsidP="003B57E3">
      <w:pPr>
        <w:pStyle w:val="Style1"/>
        <w:keepNext/>
      </w:pPr>
    </w:p>
    <w:p w14:paraId="4F3432FC" w14:textId="0D4657EF" w:rsidR="005E643B" w:rsidRDefault="00A54E8E" w:rsidP="003B57E3">
      <w:pPr>
        <w:tabs>
          <w:tab w:val="left" w:pos="1051"/>
        </w:tabs>
      </w:pPr>
      <w:r>
        <w:t>As described in the module's main source for this case, Gorton &amp; Metrick (2012), t</w:t>
      </w:r>
      <w:r w:rsidR="0053401A">
        <w:t xml:space="preserve">he U.S. in </w:t>
      </w:r>
      <w:r w:rsidR="00181DBE">
        <w:t>2007-2009</w:t>
      </w:r>
      <w:r w:rsidR="0053401A">
        <w:t xml:space="preserve"> was slow in dealing with the depreciation of a </w:t>
      </w:r>
      <w:r w:rsidR="00357A7C">
        <w:t xml:space="preserve">particular </w:t>
      </w:r>
      <w:r w:rsidR="0053401A">
        <w:t>monetary reserve asset</w:t>
      </w:r>
      <w:r w:rsidR="00357A7C">
        <w:t xml:space="preserve"> — </w:t>
      </w:r>
      <w:r w:rsidR="00833262">
        <w:t>privately created</w:t>
      </w:r>
      <w:r w:rsidR="00357A7C">
        <w:t xml:space="preserve"> AAA-rated derivatives of various private debt instruments.  P</w:t>
      </w:r>
      <w:r w:rsidR="0053401A">
        <w:t xml:space="preserve">olicy makers were not </w:t>
      </w:r>
      <w:r w:rsidR="00A77677">
        <w:t xml:space="preserve">aware </w:t>
      </w:r>
      <w:r w:rsidR="00357A7C">
        <w:t xml:space="preserve">at the time </w:t>
      </w:r>
      <w:r w:rsidR="0053401A">
        <w:t>of how much the financial system had grown to depend on these particular assets</w:t>
      </w:r>
      <w:r w:rsidR="00357A7C">
        <w:t xml:space="preserve">. </w:t>
      </w:r>
      <w:r w:rsidR="0053401A">
        <w:t xml:space="preserve"> </w:t>
      </w:r>
      <w:r w:rsidR="00155261">
        <w:t>Thus, no one anticipated that the downturn in housing prices</w:t>
      </w:r>
      <w:r w:rsidR="00E5240E">
        <w:t>, which threatened these derivatives,</w:t>
      </w:r>
      <w:r w:rsidR="00155261">
        <w:t xml:space="preserve"> could end up affecting the financial markets so drastically</w:t>
      </w:r>
      <w:r w:rsidR="008A23A5">
        <w:t>.</w:t>
      </w:r>
    </w:p>
    <w:p w14:paraId="13462C9B" w14:textId="0629F002" w:rsidR="00155261" w:rsidRDefault="00155261" w:rsidP="003B57E3">
      <w:pPr>
        <w:tabs>
          <w:tab w:val="left" w:pos="1051"/>
        </w:tabs>
      </w:pPr>
    </w:p>
    <w:p w14:paraId="70039BCD" w14:textId="77777777" w:rsidR="00BE1271" w:rsidRDefault="00155261" w:rsidP="003B57E3">
      <w:pPr>
        <w:tabs>
          <w:tab w:val="left" w:pos="1051"/>
        </w:tabs>
      </w:pPr>
      <w:r>
        <w:t>Subprime mortgages had for several years been a successful, if risky, wa</w:t>
      </w:r>
      <w:r w:rsidR="00BE1271">
        <w:t>y</w:t>
      </w:r>
      <w:r>
        <w:t xml:space="preserve"> for people who were not wealthy to benefit from appreciation in housing prices.  </w:t>
      </w:r>
      <w:r w:rsidR="00BE1271">
        <w:t xml:space="preserve">This technique </w:t>
      </w:r>
      <w:r>
        <w:t xml:space="preserve">depended on </w:t>
      </w:r>
      <w:r>
        <w:lastRenderedPageBreak/>
        <w:t xml:space="preserve">constantly rising housing prices, and when </w:t>
      </w:r>
      <w:r w:rsidR="00357A7C">
        <w:t>the price rise</w:t>
      </w:r>
      <w:r>
        <w:t xml:space="preserve"> ended in 2006 many of the securities based on that method lost value.  </w:t>
      </w:r>
    </w:p>
    <w:p w14:paraId="39544151" w14:textId="77777777" w:rsidR="00BE1271" w:rsidRDefault="00BE1271" w:rsidP="003B57E3">
      <w:pPr>
        <w:tabs>
          <w:tab w:val="left" w:pos="1051"/>
        </w:tabs>
      </w:pPr>
    </w:p>
    <w:p w14:paraId="2DACD81B" w14:textId="6DF9E7C6" w:rsidR="00787BD5" w:rsidRPr="00F67E30" w:rsidRDefault="00787BD5" w:rsidP="003B57E3">
      <w:pPr>
        <w:pStyle w:val="Style1"/>
        <w:keepNext/>
        <w:numPr>
          <w:ilvl w:val="0"/>
          <w:numId w:val="22"/>
        </w:numPr>
      </w:pPr>
    </w:p>
    <w:p w14:paraId="5AEB528F" w14:textId="77777777" w:rsidR="00787BD5" w:rsidRDefault="00787BD5" w:rsidP="003B57E3">
      <w:pPr>
        <w:pStyle w:val="Style1"/>
        <w:keepNext/>
      </w:pPr>
    </w:p>
    <w:p w14:paraId="26FC4466" w14:textId="0061DF42" w:rsidR="00460E64" w:rsidRDefault="00460E64" w:rsidP="003B57E3">
      <w:pPr>
        <w:tabs>
          <w:tab w:val="left" w:pos="1051"/>
        </w:tabs>
      </w:pPr>
      <w:r>
        <w:t>It requires a little background to understand how a relatively small corner of the financial world — subprime mortgages — connected to the shadow banking that had come to underlie U.S. corporate finance.</w:t>
      </w:r>
    </w:p>
    <w:p w14:paraId="36D8D5C5" w14:textId="77777777" w:rsidR="00460E64" w:rsidRDefault="00460E64" w:rsidP="003B57E3">
      <w:pPr>
        <w:tabs>
          <w:tab w:val="left" w:pos="1051"/>
        </w:tabs>
      </w:pPr>
    </w:p>
    <w:p w14:paraId="1D1468ED" w14:textId="244FB26B" w:rsidR="003F4349" w:rsidRDefault="00AA184C" w:rsidP="003B57E3">
      <w:pPr>
        <w:tabs>
          <w:tab w:val="left" w:pos="1051"/>
        </w:tabs>
      </w:pPr>
      <w:r>
        <w:t xml:space="preserve">The previous module on international payments pointed </w:t>
      </w:r>
      <w:r w:rsidR="003F4349">
        <w:t>out that inflation, commodity prices, and exchange rates became more volatile</w:t>
      </w:r>
      <w:r w:rsidR="00822302">
        <w:t xml:space="preserve"> starting</w:t>
      </w:r>
      <w:r w:rsidR="003F4349">
        <w:t xml:space="preserve"> in the 1970s.  Part of the financial markets' adaptation to this </w:t>
      </w:r>
      <w:r w:rsidR="003F784D">
        <w:t>has been to develop</w:t>
      </w:r>
      <w:r w:rsidR="003F4349">
        <w:t xml:space="preserve"> "hedging" devices: artificial financial securities whose value moves in the opposite direction from the risk that your business naturally exposes you to</w:t>
      </w:r>
      <w:r w:rsidR="00590AD3">
        <w:t>, thus neutralizing your risk</w:t>
      </w:r>
      <w:r w:rsidR="003F4349">
        <w:t xml:space="preserve">. </w:t>
      </w:r>
    </w:p>
    <w:p w14:paraId="6CFA543D" w14:textId="5A7E9CE6" w:rsidR="00590AD3" w:rsidRDefault="00590AD3" w:rsidP="003B57E3">
      <w:pPr>
        <w:tabs>
          <w:tab w:val="left" w:pos="1051"/>
        </w:tabs>
      </w:pPr>
    </w:p>
    <w:p w14:paraId="3244A4CA" w14:textId="57CEC3F1" w:rsidR="00590AD3" w:rsidRDefault="00590AD3" w:rsidP="003B57E3">
      <w:pPr>
        <w:tabs>
          <w:tab w:val="left" w:pos="1051"/>
        </w:tabs>
      </w:pPr>
      <w:r>
        <w:t xml:space="preserve">In a world of </w:t>
      </w:r>
      <w:r w:rsidR="00350215">
        <w:t>increasingly risky</w:t>
      </w:r>
      <w:r>
        <w:t xml:space="preserve"> financial securities, financial markets also found ways to sequester risk</w:t>
      </w:r>
      <w:r w:rsidR="00793B20">
        <w:t xml:space="preserve">, </w:t>
      </w:r>
      <w:r>
        <w:t>allow</w:t>
      </w:r>
      <w:r w:rsidR="00664251">
        <w:t>ing</w:t>
      </w:r>
      <w:r>
        <w:t xml:space="preserve"> </w:t>
      </w:r>
      <w:r w:rsidR="00793B20">
        <w:t>some</w:t>
      </w:r>
      <w:r w:rsidR="008E30A6">
        <w:t xml:space="preserve"> investors (bettors)</w:t>
      </w:r>
      <w:r w:rsidR="00793B20">
        <w:t xml:space="preserve"> to buy it while </w:t>
      </w:r>
      <w:r>
        <w:t xml:space="preserve">others </w:t>
      </w:r>
      <w:r w:rsidR="008E30A6">
        <w:t xml:space="preserve">(industrialists) </w:t>
      </w:r>
      <w:r>
        <w:t>avoid</w:t>
      </w:r>
      <w:r w:rsidR="00664251">
        <w:t>ed</w:t>
      </w:r>
      <w:r>
        <w:t xml:space="preserve"> it.  These devices are securities that are "derived" from existing financial assets</w:t>
      </w:r>
      <w:r w:rsidR="00232A7A">
        <w:t>,</w:t>
      </w:r>
      <w:r>
        <w:t xml:space="preserve"> for the purpose of managing and allocating the risk of those assets.  So, they're part of the general world of "derivatives."</w:t>
      </w:r>
    </w:p>
    <w:p w14:paraId="25924E8E" w14:textId="77777777" w:rsidR="003F4349" w:rsidRDefault="003F4349" w:rsidP="003B57E3">
      <w:pPr>
        <w:tabs>
          <w:tab w:val="left" w:pos="1051"/>
        </w:tabs>
      </w:pPr>
    </w:p>
    <w:p w14:paraId="0DA361D6" w14:textId="394B7A25" w:rsidR="00787BD5" w:rsidRPr="00F67E30" w:rsidRDefault="00787BD5" w:rsidP="003B57E3">
      <w:pPr>
        <w:pStyle w:val="ListParagraph"/>
        <w:keepNext/>
        <w:widowControl/>
        <w:numPr>
          <w:ilvl w:val="0"/>
          <w:numId w:val="22"/>
        </w:numPr>
        <w:tabs>
          <w:tab w:val="left" w:pos="1051"/>
        </w:tabs>
      </w:pPr>
    </w:p>
    <w:p w14:paraId="4FED0A9C" w14:textId="77777777" w:rsidR="00787BD5" w:rsidRDefault="00787BD5" w:rsidP="003B57E3">
      <w:pPr>
        <w:pStyle w:val="Style1"/>
        <w:keepNext/>
      </w:pPr>
    </w:p>
    <w:p w14:paraId="29236FA5" w14:textId="77777777" w:rsidR="008E30A6" w:rsidRDefault="00590AD3" w:rsidP="003B57E3">
      <w:pPr>
        <w:tabs>
          <w:tab w:val="left" w:pos="1051"/>
        </w:tabs>
      </w:pPr>
      <w:r>
        <w:t>The ABS device deserves close attention, as it create</w:t>
      </w:r>
      <w:r w:rsidR="009C45F9">
        <w:t>s</w:t>
      </w:r>
      <w:r>
        <w:t xml:space="preserve"> the basic asset for the shadow banking industry</w:t>
      </w:r>
      <w:r w:rsidR="008A23A5">
        <w:t>.</w:t>
      </w:r>
      <w:r w:rsidR="00804BDE">
        <w:t xml:space="preserve"> </w:t>
      </w:r>
    </w:p>
    <w:p w14:paraId="502C5210" w14:textId="77777777" w:rsidR="008E30A6" w:rsidRDefault="008E30A6" w:rsidP="003B57E3">
      <w:pPr>
        <w:tabs>
          <w:tab w:val="left" w:pos="1051"/>
        </w:tabs>
      </w:pPr>
    </w:p>
    <w:p w14:paraId="11C6672D" w14:textId="77777777" w:rsidR="006C5FCE" w:rsidRDefault="00804BDE" w:rsidP="003B57E3">
      <w:pPr>
        <w:tabs>
          <w:tab w:val="left" w:pos="1051"/>
        </w:tabs>
      </w:pPr>
      <w:r>
        <w:t>You start with the original financial assets: say, student loans</w:t>
      </w:r>
      <w:r w:rsidR="008E30A6">
        <w:t xml:space="preserve"> and people's credit-card balances</w:t>
      </w:r>
      <w:r>
        <w:t xml:space="preserve">.  </w:t>
      </w:r>
      <w:r w:rsidR="006C5FCE">
        <w:t>These loans are originated by banks who service consumers.</w:t>
      </w:r>
    </w:p>
    <w:p w14:paraId="1B7B4056" w14:textId="77777777" w:rsidR="006C5FCE" w:rsidRDefault="006C5FCE" w:rsidP="003B57E3">
      <w:pPr>
        <w:tabs>
          <w:tab w:val="left" w:pos="1051"/>
        </w:tabs>
      </w:pPr>
    </w:p>
    <w:p w14:paraId="500C5467" w14:textId="0370DA81" w:rsidR="00543FE1" w:rsidRDefault="009C45F9" w:rsidP="003B57E3">
      <w:pPr>
        <w:tabs>
          <w:tab w:val="left" w:pos="1051"/>
        </w:tabs>
      </w:pPr>
      <w:r>
        <w:t xml:space="preserve">A firm is created that owns </w:t>
      </w:r>
      <w:r w:rsidR="008E30A6">
        <w:t>a large number of</w:t>
      </w:r>
      <w:r>
        <w:t xml:space="preserve"> </w:t>
      </w:r>
      <w:r w:rsidR="008E30A6">
        <w:t>these loans</w:t>
      </w:r>
      <w:r>
        <w:t xml:space="preserve"> and </w:t>
      </w:r>
      <w:r w:rsidR="008E30A6">
        <w:t xml:space="preserve">that repackages them in ways that reduce and isolate their risk.  This allows the firms to sell the </w:t>
      </w:r>
      <w:r w:rsidR="00543FE1">
        <w:t>re</w:t>
      </w:r>
      <w:r w:rsidR="008E30A6">
        <w:t>package</w:t>
      </w:r>
      <w:r w:rsidR="00543FE1">
        <w:t>d portfolio</w:t>
      </w:r>
      <w:r w:rsidR="008E30A6">
        <w:t>s for a higher price than the original securities would sell for</w:t>
      </w:r>
      <w:r w:rsidR="00543FE1">
        <w:t>, which is a profit.</w:t>
      </w:r>
    </w:p>
    <w:p w14:paraId="46135817" w14:textId="77777777" w:rsidR="00543FE1" w:rsidRDefault="00543FE1" w:rsidP="003B57E3">
      <w:pPr>
        <w:tabs>
          <w:tab w:val="left" w:pos="1051"/>
        </w:tabs>
      </w:pPr>
    </w:p>
    <w:p w14:paraId="146AC6FB" w14:textId="217E1382" w:rsidR="009C45F9" w:rsidRDefault="00543FE1" w:rsidP="003B57E3">
      <w:pPr>
        <w:tabs>
          <w:tab w:val="left" w:pos="1051"/>
        </w:tabs>
      </w:pPr>
      <w:r>
        <w:t xml:space="preserve">The repackaged </w:t>
      </w:r>
      <w:r w:rsidR="009C45F9">
        <w:t xml:space="preserve">securities </w:t>
      </w:r>
      <w:r>
        <w:t xml:space="preserve">the firm sells are called </w:t>
      </w:r>
      <w:r w:rsidR="006C5FCE">
        <w:t>"</w:t>
      </w:r>
      <w:r>
        <w:t>asset-backed securit</w:t>
      </w:r>
      <w:r>
        <w:t>ies</w:t>
      </w:r>
      <w:r w:rsidR="006C5FCE">
        <w:t>"</w:t>
      </w:r>
      <w:r>
        <w:t xml:space="preserve"> </w:t>
      </w:r>
      <w:r w:rsidR="006C5FCE">
        <w:t>(</w:t>
      </w:r>
      <w:r>
        <w:t>ABS</w:t>
      </w:r>
      <w:r>
        <w:t>s</w:t>
      </w:r>
      <w:r w:rsidR="006C5FCE">
        <w:t>) generically, or sometimes "collateralized debt obligations" (CDOs)</w:t>
      </w:r>
      <w:r>
        <w:t>.  Their value comes from the</w:t>
      </w:r>
      <w:r w:rsidR="009C45F9">
        <w:t xml:space="preserve"> repayments of the </w:t>
      </w:r>
      <w:r>
        <w:t>underlying loans</w:t>
      </w:r>
      <w:r w:rsidR="00804BDE">
        <w:t xml:space="preserve">. </w:t>
      </w:r>
    </w:p>
    <w:p w14:paraId="0C0B5727" w14:textId="77777777" w:rsidR="009C45F9" w:rsidRDefault="009C45F9" w:rsidP="003B57E3">
      <w:pPr>
        <w:tabs>
          <w:tab w:val="left" w:pos="1051"/>
        </w:tabs>
      </w:pPr>
    </w:p>
    <w:p w14:paraId="3CD58EF6" w14:textId="5767ACD6" w:rsidR="009C45F9" w:rsidRDefault="00804BDE" w:rsidP="003B57E3">
      <w:pPr>
        <w:tabs>
          <w:tab w:val="left" w:pos="1051"/>
        </w:tabs>
      </w:pPr>
      <w:r>
        <w:t xml:space="preserve">The law of large numbers makes the return to the </w:t>
      </w:r>
      <w:r w:rsidR="0012739F">
        <w:t>package</w:t>
      </w:r>
      <w:r>
        <w:t xml:space="preserve"> as a whole less variable than the return to</w:t>
      </w:r>
      <w:r w:rsidR="0003466A">
        <w:t xml:space="preserve"> an</w:t>
      </w:r>
      <w:r w:rsidR="009C45F9">
        <w:t>y one</w:t>
      </w:r>
      <w:r>
        <w:t xml:space="preserve"> individual student loan.  So, if you own a $10,000 share of the </w:t>
      </w:r>
      <w:r w:rsidR="0012739F">
        <w:t>package</w:t>
      </w:r>
      <w:r>
        <w:t xml:space="preserve">, you have reduced your risk relative to </w:t>
      </w:r>
      <w:r w:rsidR="009C45F9">
        <w:t xml:space="preserve">making </w:t>
      </w:r>
      <w:r>
        <w:t xml:space="preserve">a loan of $10,000 to </w:t>
      </w:r>
      <w:r w:rsidR="009C45F9">
        <w:t xml:space="preserve">a single </w:t>
      </w:r>
      <w:r>
        <w:t>student borrower.</w:t>
      </w:r>
    </w:p>
    <w:p w14:paraId="63515B93" w14:textId="433306DF" w:rsidR="00162175" w:rsidRDefault="00162175" w:rsidP="003B57E3">
      <w:pPr>
        <w:tabs>
          <w:tab w:val="left" w:pos="1051"/>
        </w:tabs>
      </w:pPr>
    </w:p>
    <w:p w14:paraId="75151D67" w14:textId="2D9C2860" w:rsidR="00787BD5" w:rsidRPr="00F67E30" w:rsidRDefault="00787BD5" w:rsidP="003B57E3">
      <w:pPr>
        <w:pStyle w:val="Style1"/>
        <w:keepNext/>
        <w:numPr>
          <w:ilvl w:val="0"/>
          <w:numId w:val="22"/>
        </w:numPr>
      </w:pPr>
    </w:p>
    <w:p w14:paraId="4615DFBE" w14:textId="77777777" w:rsidR="00787BD5" w:rsidRDefault="00787BD5" w:rsidP="003B57E3">
      <w:pPr>
        <w:pStyle w:val="Style1"/>
        <w:keepNext/>
      </w:pPr>
    </w:p>
    <w:p w14:paraId="00F2249B" w14:textId="38FFE1E7" w:rsidR="00ED0BB3" w:rsidRDefault="009C45F9" w:rsidP="003B57E3">
      <w:pPr>
        <w:tabs>
          <w:tab w:val="left" w:pos="1051"/>
        </w:tabs>
      </w:pPr>
      <w:r>
        <w:t xml:space="preserve">To take as much advantage of market demand for risky securities as possible, the firm will want to segment the market into high-risk and low-risk segments.  It does this by </w:t>
      </w:r>
      <w:r w:rsidR="00162175">
        <w:t>divid</w:t>
      </w:r>
      <w:r>
        <w:t>ing</w:t>
      </w:r>
      <w:r w:rsidR="00162175">
        <w:t xml:space="preserve"> the </w:t>
      </w:r>
      <w:r w:rsidR="0012739F">
        <w:t>package</w:t>
      </w:r>
      <w:r w:rsidR="00162175">
        <w:t xml:space="preserve"> into slices, or "tranches" (from the French</w:t>
      </w:r>
      <w:r w:rsidR="007503D3">
        <w:t xml:space="preserve"> word</w:t>
      </w:r>
      <w:r w:rsidR="00162175">
        <w:t xml:space="preserve">), ranked according to which ones get paid their </w:t>
      </w:r>
      <w:r w:rsidR="00162175">
        <w:lastRenderedPageBreak/>
        <w:t xml:space="preserve">interest and principal first, and which ones </w:t>
      </w:r>
      <w:r w:rsidR="00C6397D">
        <w:t>must</w:t>
      </w:r>
      <w:r w:rsidR="00162175">
        <w:t xml:space="preserve"> wait until the first </w:t>
      </w:r>
      <w:r w:rsidR="002F14AB">
        <w:t xml:space="preserve">ones </w:t>
      </w:r>
      <w:r w:rsidR="00162175">
        <w:t xml:space="preserve">have been paid.  </w:t>
      </w:r>
      <w:r w:rsidR="00A40CC3">
        <w:t>Shares in each tranche (CDOs) are sold in the market according to their risk rating.</w:t>
      </w:r>
    </w:p>
    <w:p w14:paraId="163B0378" w14:textId="7100BF9F" w:rsidR="000B64EB" w:rsidRDefault="000B64EB" w:rsidP="003B57E3">
      <w:pPr>
        <w:tabs>
          <w:tab w:val="left" w:pos="1051"/>
        </w:tabs>
      </w:pPr>
    </w:p>
    <w:p w14:paraId="44C43D55" w14:textId="581EC65D" w:rsidR="000B64EB" w:rsidRDefault="000B64EB" w:rsidP="003B57E3">
      <w:pPr>
        <w:tabs>
          <w:tab w:val="left" w:pos="1051"/>
        </w:tabs>
      </w:pPr>
      <w:r>
        <w:t>The relationship of the tranches can be compared with a cascade of water from one pool to a lower pool and on to a yet lower pool.  Only if the pool above is full will any water flow over its edge to the pool below.  Thus the risk of drying up, when the stream that feeds the pools is affected by drought, is less for higher pools and greater for lower ones.</w:t>
      </w:r>
    </w:p>
    <w:p w14:paraId="64730EBF" w14:textId="77777777" w:rsidR="00ED0BB3" w:rsidRDefault="00ED0BB3" w:rsidP="003B57E3">
      <w:pPr>
        <w:tabs>
          <w:tab w:val="left" w:pos="1051"/>
        </w:tabs>
      </w:pPr>
    </w:p>
    <w:p w14:paraId="6A10F12E" w14:textId="19756B73" w:rsidR="00162175" w:rsidRDefault="00616B52" w:rsidP="003B57E3">
      <w:pPr>
        <w:tabs>
          <w:tab w:val="left" w:pos="1051"/>
        </w:tabs>
      </w:pPr>
      <w:r>
        <w:t>Similarly</w:t>
      </w:r>
      <w:r w:rsidR="00162175">
        <w:t xml:space="preserve">, risk of the investors who buy </w:t>
      </w:r>
      <w:r w:rsidR="00ED0BB3">
        <w:t>a CDO in the</w:t>
      </w:r>
      <w:r w:rsidR="00162175">
        <w:t xml:space="preserve"> top tranche is lower than the average risk of the whole </w:t>
      </w:r>
      <w:r w:rsidR="00FE2D00">
        <w:t>package</w:t>
      </w:r>
      <w:r w:rsidR="00E01BB2">
        <w:t xml:space="preserve"> (</w:t>
      </w:r>
      <w:r w:rsidR="00162175">
        <w:t>which is already lower than a randomly selected individual student's loan</w:t>
      </w:r>
      <w:r w:rsidR="00E01BB2">
        <w:t>)</w:t>
      </w:r>
      <w:r w:rsidR="00ED0BB3">
        <w:t>.  T</w:t>
      </w:r>
      <w:r w:rsidR="00162175">
        <w:t xml:space="preserve">he buyer of a share of the bottom tranche is getting something that is </w:t>
      </w:r>
      <w:r w:rsidR="00A93A42">
        <w:t>riskier</w:t>
      </w:r>
      <w:r w:rsidR="00162175">
        <w:t xml:space="preserve"> tha</w:t>
      </w:r>
      <w:r w:rsidR="00FE2D00">
        <w:t>n</w:t>
      </w:r>
      <w:r w:rsidR="00162175">
        <w:t xml:space="preserve"> the average.</w:t>
      </w:r>
    </w:p>
    <w:p w14:paraId="3B4148F7" w14:textId="5298FE9A" w:rsidR="00162175" w:rsidRDefault="00162175" w:rsidP="003B57E3">
      <w:pPr>
        <w:tabs>
          <w:tab w:val="left" w:pos="1051"/>
        </w:tabs>
      </w:pPr>
    </w:p>
    <w:p w14:paraId="526C2FBD" w14:textId="34216005" w:rsidR="00162175" w:rsidRDefault="00162175" w:rsidP="003B57E3">
      <w:pPr>
        <w:tabs>
          <w:tab w:val="left" w:pos="1051"/>
        </w:tabs>
      </w:pPr>
      <w:r>
        <w:t>If you privilege the top tranche enough, its risk rating can be a good as a U.S. treasury bond — because the likelihood of all the disparate student loans not paying any interest or principal</w:t>
      </w:r>
      <w:r w:rsidR="00782E12">
        <w:t xml:space="preserve"> at all</w:t>
      </w:r>
      <w:r>
        <w:t xml:space="preserve"> is about zero.</w:t>
      </w:r>
      <w:r w:rsidR="00782E12">
        <w:t xml:space="preserve">  A</w:t>
      </w:r>
      <w:r w:rsidR="00CC5BA4">
        <w:t xml:space="preserve"> CDO </w:t>
      </w:r>
      <w:r w:rsidR="00782E12">
        <w:t xml:space="preserve">that </w:t>
      </w:r>
      <w:r w:rsidR="00FE2D00">
        <w:t xml:space="preserve">is that </w:t>
      </w:r>
      <w:r w:rsidR="00782E12">
        <w:t>secure has</w:t>
      </w:r>
      <w:r w:rsidR="00CC5BA4">
        <w:t xml:space="preserve"> a </w:t>
      </w:r>
      <w:r w:rsidR="00782E12">
        <w:t>"</w:t>
      </w:r>
      <w:r w:rsidR="00CC5BA4">
        <w:t>AAA</w:t>
      </w:r>
      <w:r w:rsidR="00782E12">
        <w:t>"</w:t>
      </w:r>
      <w:r w:rsidR="00CC5BA4">
        <w:t xml:space="preserve"> rating.</w:t>
      </w:r>
    </w:p>
    <w:p w14:paraId="73864F9C" w14:textId="77777777" w:rsidR="008F33AF" w:rsidRDefault="008F33AF" w:rsidP="003B57E3">
      <w:pPr>
        <w:tabs>
          <w:tab w:val="left" w:pos="1051"/>
        </w:tabs>
      </w:pPr>
    </w:p>
    <w:p w14:paraId="2B1EC2C3" w14:textId="1163B6B0" w:rsidR="00F8521D" w:rsidRPr="00F67E30" w:rsidRDefault="00F8521D" w:rsidP="003B57E3">
      <w:pPr>
        <w:pStyle w:val="Style1"/>
        <w:keepNext/>
        <w:numPr>
          <w:ilvl w:val="0"/>
          <w:numId w:val="22"/>
        </w:numPr>
      </w:pPr>
    </w:p>
    <w:p w14:paraId="56227D51" w14:textId="77777777" w:rsidR="00F8521D" w:rsidRDefault="00F8521D" w:rsidP="003B57E3">
      <w:pPr>
        <w:pStyle w:val="Style1"/>
        <w:keepNext/>
      </w:pPr>
    </w:p>
    <w:p w14:paraId="023DE9B4" w14:textId="6D6A701B" w:rsidR="00BA4F17" w:rsidRDefault="00BA4F17" w:rsidP="003B57E3">
      <w:pPr>
        <w:tabs>
          <w:tab w:val="left" w:pos="1051"/>
        </w:tabs>
      </w:pPr>
      <w:r>
        <w:t>In one interpretation of history, t</w:t>
      </w:r>
      <w:r>
        <w:t>he slowdown in</w:t>
      </w:r>
      <w:r w:rsidR="00BC30D3">
        <w:t>the 1990s in the</w:t>
      </w:r>
      <w:r>
        <w:t xml:space="preserve"> "production" of U.S. Government debt — in other words, reduced </w:t>
      </w:r>
      <w:r w:rsidR="00BC30D3">
        <w:t xml:space="preserve">U.S. </w:t>
      </w:r>
      <w:r>
        <w:t>fiscal deficits —contributed to the demand for a private substitute for Treasury bonds in the 2000s.</w:t>
      </w:r>
      <w:r>
        <w:t xml:space="preserve">  </w:t>
      </w:r>
      <w:r w:rsidR="00013225">
        <w:t>With the private financial sector manufacturing AAA-rated CDOs that seem as safe as U.S. treasury securities, corporations and financial institutions of all kinds began to use them as collateral for a "shadow banking" system of providing and managing liquidity</w:t>
      </w:r>
      <w:r w:rsidR="00256F1D">
        <w:t xml:space="preserve">. </w:t>
      </w:r>
    </w:p>
    <w:p w14:paraId="2CD72B45" w14:textId="77777777" w:rsidR="00BA4F17" w:rsidRDefault="00BA4F17" w:rsidP="003B57E3">
      <w:pPr>
        <w:tabs>
          <w:tab w:val="left" w:pos="1051"/>
        </w:tabs>
      </w:pPr>
    </w:p>
    <w:p w14:paraId="4D2B8512" w14:textId="1A210566" w:rsidR="007A1770" w:rsidRDefault="002D1889" w:rsidP="003B57E3">
      <w:pPr>
        <w:tabs>
          <w:tab w:val="left" w:pos="1051"/>
        </w:tabs>
      </w:pPr>
      <w:r>
        <w:t>In this system, u</w:t>
      </w:r>
      <w:r w:rsidR="00256F1D">
        <w:t>nregulated, uninsured lenders like money-market funds and hedge funds</w:t>
      </w:r>
      <w:r w:rsidR="00BA4F17">
        <w:t>, who had no access to support from the Fed the way banks do,</w:t>
      </w:r>
      <w:r w:rsidR="00256F1D">
        <w:t xml:space="preserve"> could compete </w:t>
      </w:r>
      <w:r w:rsidR="00BA4F17">
        <w:t>with the traditional banks</w:t>
      </w:r>
      <w:r w:rsidR="00256F1D">
        <w:t>.</w:t>
      </w:r>
      <w:r w:rsidR="008A7A26">
        <w:t xml:space="preserve">  Shadow banking grew to </w:t>
      </w:r>
      <w:r w:rsidR="0069526B">
        <w:t xml:space="preserve">match </w:t>
      </w:r>
      <w:r w:rsidR="008A7A26">
        <w:t>the size of the U.S. traditional banking sector, in terms of assets.</w:t>
      </w:r>
      <w:r w:rsidR="002E268D">
        <w:t xml:space="preserve"> </w:t>
      </w:r>
    </w:p>
    <w:p w14:paraId="7FD8D4A5" w14:textId="3C62BFCB" w:rsidR="00A45F20" w:rsidRDefault="00A45F20" w:rsidP="003B57E3">
      <w:pPr>
        <w:tabs>
          <w:tab w:val="left" w:pos="1051"/>
        </w:tabs>
      </w:pPr>
    </w:p>
    <w:p w14:paraId="3364A058" w14:textId="08F096C6" w:rsidR="00A45F20" w:rsidRDefault="00A45F20" w:rsidP="003B57E3">
      <w:pPr>
        <w:tabs>
          <w:tab w:val="left" w:pos="1051"/>
        </w:tabs>
      </w:pPr>
      <w:r>
        <w:t>Both financial institutions and industrial firms financed themselves through continuously rolling over 1-day loans that were structured a "repurchase agreements" ("repos"), where the loan consisted of purchasing a AAA-rated security from the borrower and the repayment consisted in the borrower buying the security back the next morning at a higher price.  The AAA-rated security provided the lender collateral: if the repurchase didn't occur, the lender could just sell the collateral.</w:t>
      </w:r>
    </w:p>
    <w:p w14:paraId="10D4D624" w14:textId="5027DCFF" w:rsidR="00A45F20" w:rsidRDefault="00A45F20" w:rsidP="003B57E3">
      <w:pPr>
        <w:tabs>
          <w:tab w:val="left" w:pos="1051"/>
        </w:tabs>
      </w:pPr>
    </w:p>
    <w:p w14:paraId="24560C23" w14:textId="0DFA1E28" w:rsidR="00A45F20" w:rsidRDefault="00A45F20" w:rsidP="003B57E3">
      <w:pPr>
        <w:tabs>
          <w:tab w:val="left" w:pos="1051"/>
        </w:tabs>
      </w:pPr>
      <w:r>
        <w:t>These transactions took place in bulk and automatically because the AAA rating of the securities meant that no evaluation of the borrower or the collateral was needed.  Supposedly.</w:t>
      </w:r>
    </w:p>
    <w:p w14:paraId="1764342B" w14:textId="7A32087F" w:rsidR="00BD6BE4" w:rsidRDefault="00BD6BE4" w:rsidP="003B57E3">
      <w:pPr>
        <w:tabs>
          <w:tab w:val="left" w:pos="1051"/>
        </w:tabs>
      </w:pPr>
    </w:p>
    <w:p w14:paraId="449B2181" w14:textId="6E252D51" w:rsidR="00013225" w:rsidRPr="00F67E30" w:rsidRDefault="00013225" w:rsidP="003B57E3">
      <w:pPr>
        <w:pStyle w:val="Style1"/>
        <w:keepNext/>
        <w:numPr>
          <w:ilvl w:val="0"/>
          <w:numId w:val="22"/>
        </w:numPr>
      </w:pPr>
    </w:p>
    <w:p w14:paraId="0E613200" w14:textId="77777777" w:rsidR="00013225" w:rsidRDefault="00013225" w:rsidP="003B57E3">
      <w:pPr>
        <w:pStyle w:val="Style1"/>
        <w:keepNext/>
      </w:pPr>
    </w:p>
    <w:p w14:paraId="41C7DF33" w14:textId="0DDBE70D" w:rsidR="00013225" w:rsidRDefault="009E736A" w:rsidP="003B57E3">
      <w:pPr>
        <w:tabs>
          <w:tab w:val="left" w:pos="1051"/>
        </w:tabs>
      </w:pPr>
      <w:r>
        <w:t>A</w:t>
      </w:r>
      <w:r w:rsidR="008A7A26">
        <w:t xml:space="preserve"> vulnerability of shadow banking </w:t>
      </w:r>
      <w:r>
        <w:t>is</w:t>
      </w:r>
      <w:r w:rsidR="008A7A26">
        <w:t xml:space="preserve"> that the law of large numbers is based on the assumption of how different risks are correlated</w:t>
      </w:r>
      <w:r w:rsidR="00013225">
        <w:t>.</w:t>
      </w:r>
      <w:r w:rsidR="008A7A26">
        <w:t xml:space="preserve">  If something changes and different risks are realized in combinations different from the past, </w:t>
      </w:r>
      <w:r w:rsidR="00DD48B1">
        <w:t>then you can't depend on the law of large numbers.</w:t>
      </w:r>
    </w:p>
    <w:p w14:paraId="36BD1429" w14:textId="4A280E0D" w:rsidR="008A7A26" w:rsidRDefault="008A7A26" w:rsidP="003B57E3">
      <w:pPr>
        <w:tabs>
          <w:tab w:val="left" w:pos="1051"/>
        </w:tabs>
      </w:pPr>
    </w:p>
    <w:p w14:paraId="6014DA2A" w14:textId="477A0614" w:rsidR="001645D7" w:rsidRPr="00697FFA" w:rsidRDefault="00F951ED" w:rsidP="003B57E3">
      <w:pPr>
        <w:tabs>
          <w:tab w:val="left" w:pos="1051"/>
        </w:tabs>
      </w:pPr>
      <w:r>
        <w:lastRenderedPageBreak/>
        <w:t>Compared</w:t>
      </w:r>
      <w:r w:rsidR="001645D7">
        <w:t xml:space="preserve"> to traditional banking, </w:t>
      </w:r>
      <w:r>
        <w:t>shadow banking was also vulnerable due to</w:t>
      </w:r>
      <w:r w:rsidR="001645D7">
        <w:t xml:space="preserve"> </w:t>
      </w:r>
      <w:r>
        <w:t>high</w:t>
      </w:r>
      <w:r w:rsidR="001645D7">
        <w:t xml:space="preserve"> leverage</w:t>
      </w:r>
      <w:r>
        <w:t xml:space="preserve"> (since shadow banking was not regulated)</w:t>
      </w:r>
      <w:r w:rsidR="001645D7">
        <w:t>, dependence on reputation, the dependence on a chain of counterparties (each of which can lose market confidence and bring the others down)</w:t>
      </w:r>
      <w:r>
        <w:t>, and lack of automatic support from the Fed</w:t>
      </w:r>
      <w:r w:rsidR="001645D7">
        <w:t>.</w:t>
      </w:r>
    </w:p>
    <w:p w14:paraId="7DAFE5EE" w14:textId="77777777" w:rsidR="001645D7" w:rsidRDefault="001645D7" w:rsidP="003B57E3">
      <w:pPr>
        <w:tabs>
          <w:tab w:val="left" w:pos="1051"/>
        </w:tabs>
      </w:pPr>
    </w:p>
    <w:p w14:paraId="39F3BA9C" w14:textId="77777777" w:rsidR="00BD6BE4" w:rsidRDefault="00BD6BE4" w:rsidP="003B57E3">
      <w:pPr>
        <w:pStyle w:val="ListParagraph"/>
        <w:keepNext/>
        <w:widowControl/>
        <w:numPr>
          <w:ilvl w:val="0"/>
          <w:numId w:val="22"/>
        </w:numPr>
        <w:tabs>
          <w:tab w:val="left" w:pos="1051"/>
        </w:tabs>
      </w:pPr>
    </w:p>
    <w:p w14:paraId="0C0DCC5D" w14:textId="44BA2168" w:rsidR="00BD6BE4" w:rsidRDefault="00BD6BE4" w:rsidP="003B57E3">
      <w:pPr>
        <w:keepNext/>
        <w:tabs>
          <w:tab w:val="left" w:pos="1051"/>
        </w:tabs>
      </w:pPr>
    </w:p>
    <w:p w14:paraId="33A07BC2" w14:textId="48C8A1FA" w:rsidR="001645D7" w:rsidRDefault="001645D7" w:rsidP="003B57E3">
      <w:pPr>
        <w:tabs>
          <w:tab w:val="left" w:pos="1051"/>
        </w:tabs>
      </w:pPr>
      <w:r>
        <w:t>This slide is a reminder of the role of leverage.</w:t>
      </w:r>
    </w:p>
    <w:p w14:paraId="782BC6A0" w14:textId="77777777" w:rsidR="001645D7" w:rsidRDefault="001645D7" w:rsidP="003B57E3">
      <w:pPr>
        <w:tabs>
          <w:tab w:val="left" w:pos="1051"/>
        </w:tabs>
      </w:pPr>
    </w:p>
    <w:p w14:paraId="538513A5" w14:textId="3A073FF8" w:rsidR="00013225" w:rsidRPr="00F67E30" w:rsidRDefault="00013225" w:rsidP="003B57E3">
      <w:pPr>
        <w:pStyle w:val="Style1"/>
        <w:keepNext/>
        <w:numPr>
          <w:ilvl w:val="0"/>
          <w:numId w:val="22"/>
        </w:numPr>
      </w:pPr>
    </w:p>
    <w:p w14:paraId="334F8ECA" w14:textId="77777777" w:rsidR="00013225" w:rsidRDefault="00013225" w:rsidP="003B57E3">
      <w:pPr>
        <w:pStyle w:val="Style1"/>
        <w:keepNext/>
      </w:pPr>
    </w:p>
    <w:p w14:paraId="1FF7059A" w14:textId="5374B2C4" w:rsidR="00A17B17" w:rsidRDefault="00181DBE" w:rsidP="003B57E3">
      <w:pPr>
        <w:tabs>
          <w:tab w:val="left" w:pos="1051"/>
        </w:tabs>
      </w:pPr>
      <w:r>
        <w:t>Starting i</w:t>
      </w:r>
      <w:r w:rsidR="00910F97">
        <w:t>n 200</w:t>
      </w:r>
      <w:r>
        <w:t>6</w:t>
      </w:r>
      <w:r w:rsidR="00910F97">
        <w:t xml:space="preserve">, </w:t>
      </w:r>
      <w:r w:rsidR="00743EE5">
        <w:t xml:space="preserve">a set of credit risks </w:t>
      </w:r>
      <w:r w:rsidR="001E6785">
        <w:t>was</w:t>
      </w:r>
      <w:r w:rsidR="00743EE5">
        <w:t xml:space="preserve"> realized that fell outside the range of likelihoods based on </w:t>
      </w:r>
      <w:r w:rsidR="00C6397D">
        <w:t>experience</w:t>
      </w:r>
      <w:r w:rsidR="00A17B17">
        <w:t xml:space="preserve">.  That's explained (in a cinematic way) in the movie, </w:t>
      </w:r>
      <w:r w:rsidR="00A17B17" w:rsidRPr="004E0C0B">
        <w:t>"Margin Call"</w:t>
      </w:r>
      <w:r w:rsidR="001E6785">
        <w:t xml:space="preserve">: </w:t>
      </w:r>
      <w:hyperlink r:id="rId9" w:history="1">
        <w:r w:rsidR="00A17B17" w:rsidRPr="004E0C0B">
          <w:rPr>
            <w:rStyle w:val="Hyperlink"/>
          </w:rPr>
          <w:t>https://www.youtube.com/watch?v=QAWtcYOVbWw</w:t>
        </w:r>
      </w:hyperlink>
    </w:p>
    <w:p w14:paraId="357E36D7" w14:textId="77777777" w:rsidR="00297395" w:rsidRDefault="00297395" w:rsidP="003B57E3">
      <w:pPr>
        <w:pStyle w:val="Normal1"/>
        <w:keepNext/>
        <w:spacing w:after="0" w:line="240" w:lineRule="auto"/>
      </w:pPr>
    </w:p>
    <w:p w14:paraId="06579427" w14:textId="77777777" w:rsidR="00E85012" w:rsidRDefault="00A17B17" w:rsidP="003B57E3">
      <w:pPr>
        <w:tabs>
          <w:tab w:val="left" w:pos="1051"/>
        </w:tabs>
      </w:pPr>
      <w:r>
        <w:t xml:space="preserve">Even before any failure to pay interest and principal occurred, the perception of risk increased.  CDOs, whose exact contents had never been known, were touched by doubt.  </w:t>
      </w:r>
    </w:p>
    <w:p w14:paraId="428247FB" w14:textId="77777777" w:rsidR="00E85012" w:rsidRDefault="00E85012" w:rsidP="003B57E3">
      <w:pPr>
        <w:tabs>
          <w:tab w:val="left" w:pos="1051"/>
        </w:tabs>
      </w:pPr>
    </w:p>
    <w:p w14:paraId="0E2599CD" w14:textId="42E21470" w:rsidR="00013225" w:rsidRDefault="00A17B17" w:rsidP="003B57E3">
      <w:pPr>
        <w:tabs>
          <w:tab w:val="left" w:pos="1051"/>
        </w:tabs>
      </w:pPr>
      <w:r>
        <w:t xml:space="preserve">Doubt about solvency also touched counterparties who </w:t>
      </w:r>
      <w:r w:rsidR="009365CB">
        <w:t>the shadow banking system</w:t>
      </w:r>
      <w:r>
        <w:t xml:space="preserve"> had been willing to finance up to high leverage ratios because they could offer AAA-rated CDOs as collateral.</w:t>
      </w:r>
      <w:r w:rsidR="00E85012">
        <w:t xml:space="preserve">  Now, </w:t>
      </w:r>
      <w:r w:rsidR="009365CB">
        <w:t>everyone</w:t>
      </w:r>
      <w:r w:rsidR="00E85012">
        <w:t xml:space="preserve"> became more cautious.</w:t>
      </w:r>
    </w:p>
    <w:p w14:paraId="07021624" w14:textId="76181A99" w:rsidR="00743EE5" w:rsidRDefault="00743EE5" w:rsidP="003B57E3">
      <w:pPr>
        <w:tabs>
          <w:tab w:val="left" w:pos="1051"/>
        </w:tabs>
      </w:pPr>
    </w:p>
    <w:p w14:paraId="655EA380" w14:textId="6B14471D" w:rsidR="00013225" w:rsidRPr="00F67E30" w:rsidRDefault="00013225" w:rsidP="003B57E3">
      <w:pPr>
        <w:pStyle w:val="Style1"/>
        <w:keepNext/>
        <w:numPr>
          <w:ilvl w:val="0"/>
          <w:numId w:val="22"/>
        </w:numPr>
      </w:pPr>
    </w:p>
    <w:p w14:paraId="7AB34854" w14:textId="77777777" w:rsidR="00013225" w:rsidRDefault="00013225" w:rsidP="003B57E3">
      <w:pPr>
        <w:pStyle w:val="Style1"/>
        <w:keepNext/>
      </w:pPr>
    </w:p>
    <w:p w14:paraId="0F6874E4" w14:textId="089C9E1B" w:rsidR="001143B5" w:rsidRDefault="00E85012" w:rsidP="003B57E3">
      <w:pPr>
        <w:tabs>
          <w:tab w:val="left" w:pos="1051"/>
        </w:tabs>
      </w:pPr>
      <w:r>
        <w:t>An adjustment</w:t>
      </w:r>
      <w:r w:rsidR="001143B5">
        <w:t xml:space="preserve"> </w:t>
      </w:r>
      <w:r w:rsidR="00741E83">
        <w:t>lenders</w:t>
      </w:r>
      <w:r w:rsidR="00ED534F">
        <w:t xml:space="preserve"> </w:t>
      </w:r>
      <w:r w:rsidR="001143B5">
        <w:t>ma</w:t>
      </w:r>
      <w:r w:rsidR="00ED534F">
        <w:t>d</w:t>
      </w:r>
      <w:r w:rsidR="001143B5">
        <w:t>e</w:t>
      </w:r>
      <w:r w:rsidR="00ED534F">
        <w:t xml:space="preserve"> was </w:t>
      </w:r>
      <w:r>
        <w:t>to slightly raise the amount of "overcollateralization" ask</w:t>
      </w:r>
      <w:r w:rsidR="00ED534F">
        <w:t>ed</w:t>
      </w:r>
      <w:r>
        <w:t xml:space="preserve"> </w:t>
      </w:r>
      <w:r w:rsidR="00C6397D">
        <w:t>for</w:t>
      </w:r>
      <w:r w:rsidR="00ED534F">
        <w:t xml:space="preserve"> in repos</w:t>
      </w:r>
      <w:r>
        <w:t xml:space="preserve">.  That is, </w:t>
      </w:r>
      <w:r w:rsidR="00ED534F">
        <w:t>suppose they had</w:t>
      </w:r>
      <w:r>
        <w:t xml:space="preserve"> been asking for collateral whose market value is $105 for each $100 lent: that's overcollateralization by 5%.</w:t>
      </w:r>
      <w:r w:rsidR="00ED534F">
        <w:t xml:space="preserve">  In the face of more risk, they</w:t>
      </w:r>
      <w:r>
        <w:t xml:space="preserve"> might ask for $110 worth of collateral.  (These numbers are totally made up, for purposes of illustration.)  </w:t>
      </w:r>
    </w:p>
    <w:p w14:paraId="329A9D6E" w14:textId="77777777" w:rsidR="001143B5" w:rsidRDefault="001143B5" w:rsidP="003B57E3">
      <w:pPr>
        <w:tabs>
          <w:tab w:val="left" w:pos="1051"/>
        </w:tabs>
      </w:pPr>
    </w:p>
    <w:p w14:paraId="20ACAECD" w14:textId="5592F21E" w:rsidR="00E85012" w:rsidRDefault="00741E83" w:rsidP="003B57E3">
      <w:pPr>
        <w:tabs>
          <w:tab w:val="left" w:pos="1051"/>
        </w:tabs>
      </w:pPr>
      <w:r>
        <w:t>Alternatively,</w:t>
      </w:r>
      <w:r w:rsidR="00E85012">
        <w:t xml:space="preserve"> </w:t>
      </w:r>
      <w:r w:rsidR="00ED534F">
        <w:t>one</w:t>
      </w:r>
      <w:r w:rsidR="001143B5">
        <w:t xml:space="preserve"> might </w:t>
      </w:r>
      <w:r w:rsidR="00E85012">
        <w:t>ask for USG treasury securities</w:t>
      </w:r>
      <w:r w:rsidR="00121A15">
        <w:t xml:space="preserve"> as collateral</w:t>
      </w:r>
      <w:r w:rsidR="00E85012">
        <w:t xml:space="preserve"> instead of AAA-rated</w:t>
      </w:r>
      <w:r w:rsidR="00121A15">
        <w:t xml:space="preserve"> derivatives</w:t>
      </w:r>
      <w:r w:rsidR="00E85012">
        <w:t>.</w:t>
      </w:r>
      <w:r w:rsidR="00121A15">
        <w:t xml:space="preserve">  But there were only so many treasuries in the market — unless the Fed took action.</w:t>
      </w:r>
    </w:p>
    <w:p w14:paraId="015F583F" w14:textId="41C91937" w:rsidR="00121A15" w:rsidRDefault="00121A15" w:rsidP="003B57E3">
      <w:pPr>
        <w:tabs>
          <w:tab w:val="left" w:pos="1051"/>
        </w:tabs>
      </w:pPr>
    </w:p>
    <w:p w14:paraId="5AD932E3" w14:textId="2817B276" w:rsidR="00121A15" w:rsidRDefault="00121A15" w:rsidP="003B57E3">
      <w:pPr>
        <w:tabs>
          <w:tab w:val="left" w:pos="1051"/>
        </w:tabs>
      </w:pPr>
      <w:r>
        <w:t>Lacking cash or safer securities, financial institutions just had to reduce their portfolios by selling securities.</w:t>
      </w:r>
    </w:p>
    <w:p w14:paraId="63DDA230" w14:textId="77777777" w:rsidR="00E85012" w:rsidRDefault="00E85012" w:rsidP="003B57E3">
      <w:pPr>
        <w:tabs>
          <w:tab w:val="left" w:pos="1051"/>
        </w:tabs>
      </w:pPr>
    </w:p>
    <w:p w14:paraId="4525B0D5" w14:textId="77777777" w:rsidR="0090679B" w:rsidRPr="00F67E30" w:rsidRDefault="0090679B" w:rsidP="003B57E3">
      <w:pPr>
        <w:pStyle w:val="Style1"/>
        <w:keepNext/>
        <w:numPr>
          <w:ilvl w:val="0"/>
          <w:numId w:val="22"/>
        </w:numPr>
      </w:pPr>
    </w:p>
    <w:p w14:paraId="51FDB00C" w14:textId="77777777" w:rsidR="0090679B" w:rsidRDefault="0090679B" w:rsidP="003B57E3">
      <w:pPr>
        <w:pStyle w:val="Style1"/>
        <w:keepNext/>
      </w:pPr>
    </w:p>
    <w:p w14:paraId="1EB851F4" w14:textId="77777777" w:rsidR="00956370" w:rsidRDefault="00956370" w:rsidP="003B57E3">
      <w:pPr>
        <w:tabs>
          <w:tab w:val="left" w:pos="1051"/>
        </w:tabs>
      </w:pPr>
      <w:r>
        <w:t>Financial institutions needed to raise cash by selling financial assets, but the market was in a panic over possible risks of various private assets.  It's hard to sell assets whose risk rating and valuation was uncertain, so you sell what you can.</w:t>
      </w:r>
    </w:p>
    <w:p w14:paraId="6F7F2774" w14:textId="77777777" w:rsidR="00956370" w:rsidRDefault="00956370" w:rsidP="003B57E3">
      <w:pPr>
        <w:tabs>
          <w:tab w:val="left" w:pos="1051"/>
        </w:tabs>
      </w:pPr>
    </w:p>
    <w:p w14:paraId="0F14331B" w14:textId="0035ECFE" w:rsidR="00E85012" w:rsidRDefault="00956370" w:rsidP="003B57E3">
      <w:pPr>
        <w:tabs>
          <w:tab w:val="left" w:pos="1051"/>
        </w:tabs>
      </w:pPr>
      <w:r>
        <w:t>As a result, firms sold all kinds of assets and prices dropped across the board — not just for assets whose underlying industries had problems, like housing.</w:t>
      </w:r>
      <w:r w:rsidR="00551C55">
        <w:t xml:space="preserve"> </w:t>
      </w:r>
    </w:p>
    <w:p w14:paraId="721687A4" w14:textId="283F2637" w:rsidR="00013225" w:rsidRDefault="00013225" w:rsidP="003B57E3">
      <w:pPr>
        <w:tabs>
          <w:tab w:val="left" w:pos="1051"/>
        </w:tabs>
      </w:pPr>
    </w:p>
    <w:p w14:paraId="2178CDCA" w14:textId="62E80F30" w:rsidR="00013225" w:rsidRPr="00F67E30" w:rsidRDefault="00013225" w:rsidP="003B57E3">
      <w:pPr>
        <w:pStyle w:val="Style1"/>
        <w:keepNext/>
        <w:numPr>
          <w:ilvl w:val="0"/>
          <w:numId w:val="22"/>
        </w:numPr>
      </w:pPr>
    </w:p>
    <w:p w14:paraId="327B79BA" w14:textId="77777777" w:rsidR="00013225" w:rsidRDefault="00013225" w:rsidP="003B57E3">
      <w:pPr>
        <w:pStyle w:val="Style1"/>
        <w:keepNext/>
      </w:pPr>
    </w:p>
    <w:p w14:paraId="07218C6D" w14:textId="5095E83E" w:rsidR="00776D4A" w:rsidRDefault="00B34887" w:rsidP="003B57E3">
      <w:pPr>
        <w:tabs>
          <w:tab w:val="left" w:pos="1051"/>
        </w:tabs>
      </w:pPr>
      <w:r>
        <w:t>This slide shows a chart showing financial assets of various kinds falling in value</w:t>
      </w:r>
      <w:r w:rsidR="00776D4A">
        <w:t xml:space="preserve">. </w:t>
      </w:r>
    </w:p>
    <w:p w14:paraId="4C771E5D" w14:textId="10D4ABCE" w:rsidR="0090679B" w:rsidRDefault="0090679B" w:rsidP="003B57E3">
      <w:pPr>
        <w:tabs>
          <w:tab w:val="left" w:pos="1051"/>
        </w:tabs>
      </w:pPr>
    </w:p>
    <w:p w14:paraId="03641D0E" w14:textId="63A87A84" w:rsidR="00013225" w:rsidRPr="00F67E30" w:rsidRDefault="00013225" w:rsidP="003B57E3">
      <w:pPr>
        <w:pStyle w:val="Style1"/>
        <w:keepNext/>
        <w:numPr>
          <w:ilvl w:val="0"/>
          <w:numId w:val="22"/>
        </w:numPr>
      </w:pPr>
    </w:p>
    <w:p w14:paraId="32BB5EDB" w14:textId="77777777" w:rsidR="00013225" w:rsidRDefault="00013225" w:rsidP="003B57E3">
      <w:pPr>
        <w:pStyle w:val="Style1"/>
        <w:keepNext/>
      </w:pPr>
    </w:p>
    <w:p w14:paraId="27807676" w14:textId="527CF3A8" w:rsidR="00013225" w:rsidRDefault="003B390F" w:rsidP="003B57E3">
      <w:pPr>
        <w:tabs>
          <w:tab w:val="left" w:pos="1051"/>
        </w:tabs>
      </w:pPr>
      <w:r>
        <w:t>So, that's a liquidity crisis</w:t>
      </w:r>
      <w:r w:rsidR="00013225">
        <w:t>.</w:t>
      </w:r>
    </w:p>
    <w:p w14:paraId="1E9C4F4C" w14:textId="6D9AD339" w:rsidR="003B390F" w:rsidRDefault="003B390F" w:rsidP="003B57E3">
      <w:pPr>
        <w:tabs>
          <w:tab w:val="left" w:pos="1051"/>
        </w:tabs>
      </w:pPr>
    </w:p>
    <w:p w14:paraId="67A62FE2" w14:textId="4788BFBD" w:rsidR="003B390F" w:rsidRDefault="003B390F" w:rsidP="003B57E3">
      <w:pPr>
        <w:tabs>
          <w:tab w:val="left" w:pos="1051"/>
        </w:tabs>
      </w:pPr>
      <w:r>
        <w:t>The solution is, as always</w:t>
      </w:r>
      <w:r w:rsidR="000F640A">
        <w:t xml:space="preserve"> in liquidity crises</w:t>
      </w:r>
      <w:r>
        <w:t xml:space="preserve">, to provide </w:t>
      </w:r>
      <w:r w:rsidR="000F640A">
        <w:t>an</w:t>
      </w:r>
      <w:r>
        <w:t xml:space="preserve"> asset the public wants.  In this case, it was USG securities.  The Fed </w:t>
      </w:r>
      <w:r w:rsidR="000E1785">
        <w:t xml:space="preserve">(and the associated USG managers of the financial sector) </w:t>
      </w:r>
      <w:r>
        <w:t>did so</w:t>
      </w:r>
      <w:r w:rsidR="000E1785">
        <w:t>.  The panic ended promptly.</w:t>
      </w:r>
    </w:p>
    <w:p w14:paraId="7A21D67E" w14:textId="7F2E9FAC" w:rsidR="000E1785" w:rsidRDefault="000E1785" w:rsidP="003B57E3">
      <w:pPr>
        <w:tabs>
          <w:tab w:val="left" w:pos="1051"/>
        </w:tabs>
      </w:pPr>
    </w:p>
    <w:p w14:paraId="3AB08C16" w14:textId="4EFB6E13" w:rsidR="000E1785" w:rsidRPr="00697FFA" w:rsidRDefault="000E1785" w:rsidP="003B57E3">
      <w:pPr>
        <w:tabs>
          <w:tab w:val="left" w:pos="1051"/>
        </w:tabs>
      </w:pPr>
      <w:r>
        <w:t xml:space="preserve">What happens when the authorities choose not to respond, to let the financial sector correct itself through the discipline of the marketplace?  That's </w:t>
      </w:r>
      <w:r w:rsidR="00822B63">
        <w:t xml:space="preserve">a case like </w:t>
      </w:r>
      <w:r w:rsidR="00AC694D">
        <w:t>Bear Stearns,</w:t>
      </w:r>
      <w:r>
        <w:t xml:space="preserve"> or Greece</w:t>
      </w:r>
      <w:r w:rsidR="00822B63">
        <w:t xml:space="preserve"> (initially)</w:t>
      </w:r>
      <w:r>
        <w:t>.</w:t>
      </w:r>
    </w:p>
    <w:p w14:paraId="0D55408F" w14:textId="69D1A842" w:rsidR="00013225" w:rsidRDefault="00013225" w:rsidP="003B57E3">
      <w:pPr>
        <w:tabs>
          <w:tab w:val="left" w:pos="1051"/>
        </w:tabs>
      </w:pPr>
    </w:p>
    <w:p w14:paraId="0D57A41B" w14:textId="5FA5CC79" w:rsidR="00187D7B" w:rsidRPr="00F67E30" w:rsidRDefault="00187D7B" w:rsidP="003B57E3">
      <w:pPr>
        <w:pStyle w:val="Style1"/>
        <w:keepNext/>
        <w:numPr>
          <w:ilvl w:val="0"/>
          <w:numId w:val="22"/>
        </w:numPr>
      </w:pPr>
    </w:p>
    <w:p w14:paraId="763F47F8" w14:textId="77777777" w:rsidR="00187D7B" w:rsidRDefault="00187D7B" w:rsidP="003B57E3">
      <w:pPr>
        <w:pStyle w:val="Style1"/>
        <w:keepNext/>
      </w:pPr>
    </w:p>
    <w:p w14:paraId="74B8DCB7" w14:textId="2CE16D1A" w:rsidR="00187D7B" w:rsidRPr="00697FFA" w:rsidRDefault="000E1785" w:rsidP="003B57E3">
      <w:pPr>
        <w:tabs>
          <w:tab w:val="left" w:pos="1051"/>
        </w:tabs>
      </w:pPr>
      <w:r>
        <w:t xml:space="preserve">While the financial sector righted itself promptly, industry shrank as a result of losing credit, </w:t>
      </w:r>
      <w:r w:rsidR="004B7836">
        <w:t xml:space="preserve">initiating </w:t>
      </w:r>
      <w:r>
        <w:t xml:space="preserve">the usual downward </w:t>
      </w:r>
      <w:r w:rsidR="004B7836">
        <w:t>"</w:t>
      </w:r>
      <w:r>
        <w:t>multiplier</w:t>
      </w:r>
      <w:r w:rsidR="004B7836">
        <w:t>"</w:t>
      </w:r>
      <w:r>
        <w:t xml:space="preserve"> process</w:t>
      </w:r>
      <w:r w:rsidR="00A06370">
        <w:t xml:space="preserve"> described by </w:t>
      </w:r>
      <w:r w:rsidR="00C6397D">
        <w:t>Keynesian</w:t>
      </w:r>
      <w:r w:rsidR="00A06370">
        <w:t xml:space="preserve"> economics</w:t>
      </w:r>
      <w:r w:rsidR="00187D7B">
        <w:t>.</w:t>
      </w:r>
      <w:r>
        <w:t xml:space="preserve">  The USG initially tried to </w:t>
      </w:r>
      <w:r w:rsidR="00943E85">
        <w:t>support</w:t>
      </w:r>
      <w:r>
        <w:t xml:space="preserve"> </w:t>
      </w:r>
      <w:r w:rsidR="00C6397D">
        <w:t>the</w:t>
      </w:r>
      <w:r>
        <w:t xml:space="preserve"> economy, but then in 2010 decided to reduce its purchases also, suppressing the recovery for </w:t>
      </w:r>
      <w:r w:rsidR="00943E85">
        <w:t>several</w:t>
      </w:r>
      <w:r>
        <w:t xml:space="preserve"> years</w:t>
      </w:r>
      <w:r w:rsidR="009944BE">
        <w:t xml:space="preserve">. </w:t>
      </w:r>
      <w:r>
        <w:t xml:space="preserve"> (European governments did </w:t>
      </w:r>
      <w:r w:rsidR="009944BE">
        <w:t>the same thing.</w:t>
      </w:r>
      <w:r>
        <w:t>)</w:t>
      </w:r>
    </w:p>
    <w:p w14:paraId="72F860C6" w14:textId="77777777" w:rsidR="00187D7B" w:rsidRDefault="00187D7B" w:rsidP="003B57E3">
      <w:pPr>
        <w:tabs>
          <w:tab w:val="left" w:pos="1051"/>
        </w:tabs>
      </w:pPr>
    </w:p>
    <w:p w14:paraId="3DA5755B" w14:textId="252960CA" w:rsidR="00187D7B" w:rsidRPr="00F67E30" w:rsidRDefault="00187D7B" w:rsidP="003B57E3">
      <w:pPr>
        <w:pStyle w:val="Style1"/>
        <w:keepNext/>
        <w:numPr>
          <w:ilvl w:val="0"/>
          <w:numId w:val="22"/>
        </w:numPr>
      </w:pPr>
    </w:p>
    <w:p w14:paraId="0F93ED6B" w14:textId="77777777" w:rsidR="00187D7B" w:rsidRDefault="00187D7B" w:rsidP="003B57E3">
      <w:pPr>
        <w:pStyle w:val="Style1"/>
        <w:keepNext/>
      </w:pPr>
    </w:p>
    <w:p w14:paraId="419D4F65" w14:textId="228133B9" w:rsidR="00A03086" w:rsidRDefault="00A03086" w:rsidP="00A03086">
      <w:pPr>
        <w:keepNext/>
        <w:tabs>
          <w:tab w:val="left" w:pos="1051"/>
        </w:tabs>
      </w:pPr>
      <w:r>
        <w:rPr>
          <w:b/>
          <w:bCs/>
        </w:rPr>
        <w:t xml:space="preserve">Currency </w:t>
      </w:r>
      <w:r w:rsidRPr="00A03086">
        <w:rPr>
          <w:b/>
          <w:bCs/>
        </w:rPr>
        <w:t>Crisis</w:t>
      </w:r>
      <w:r w:rsidR="006258C0">
        <w:rPr>
          <w:b/>
          <w:bCs/>
        </w:rPr>
        <w:t>: East Asia 2007</w:t>
      </w:r>
    </w:p>
    <w:p w14:paraId="31BE0648" w14:textId="77777777" w:rsidR="00A03086" w:rsidRDefault="00A03086" w:rsidP="00A03086">
      <w:pPr>
        <w:keepNext/>
        <w:tabs>
          <w:tab w:val="left" w:pos="1051"/>
        </w:tabs>
      </w:pPr>
    </w:p>
    <w:p w14:paraId="3907CEAE" w14:textId="32772EAF" w:rsidR="00187D7B" w:rsidRDefault="00AA0A6A" w:rsidP="003B57E3">
      <w:pPr>
        <w:tabs>
          <w:tab w:val="left" w:pos="1051"/>
        </w:tabs>
      </w:pPr>
      <w:r w:rsidRPr="00A03086">
        <w:t>Turning</w:t>
      </w:r>
      <w:r>
        <w:t xml:space="preserve"> now to currencies, note that t</w:t>
      </w:r>
      <w:r w:rsidR="00DF65E1">
        <w:t>he debt crisis of Greece's banks in 2009-2010 did not result in financial markets rushing to sell Greece's currency, the euro</w:t>
      </w:r>
      <w:r w:rsidR="00187D7B">
        <w:t>.</w:t>
      </w:r>
      <w:r w:rsidR="00DF65E1">
        <w:t xml:space="preserve">  Rather, the euro's exchange rate relative to the U.S. dollar moved in the same range as ever.</w:t>
      </w:r>
    </w:p>
    <w:p w14:paraId="1A69D143" w14:textId="688DAB6A" w:rsidR="00DF65E1" w:rsidRDefault="00DF65E1" w:rsidP="003B57E3">
      <w:pPr>
        <w:tabs>
          <w:tab w:val="left" w:pos="1051"/>
        </w:tabs>
      </w:pPr>
    </w:p>
    <w:p w14:paraId="1DF5E491" w14:textId="67CE3368" w:rsidR="00DF65E1" w:rsidRDefault="00DF65E1" w:rsidP="003B57E3">
      <w:pPr>
        <w:tabs>
          <w:tab w:val="left" w:pos="1051"/>
        </w:tabs>
      </w:pPr>
      <w:r>
        <w:t xml:space="preserve">Nor did the collapse of confidence in the U.S. shadow banks and the </w:t>
      </w:r>
      <w:r w:rsidR="00C6397D">
        <w:t>near collapse</w:t>
      </w:r>
      <w:r>
        <w:t xml:space="preserve"> of the whole U.S. private financial sector cause investors to rush to trade in U.S. dollars for euro or yen.</w:t>
      </w:r>
    </w:p>
    <w:p w14:paraId="69E2E1E9" w14:textId="4001A394" w:rsidR="00DF65E1" w:rsidRDefault="00DF65E1" w:rsidP="003B57E3">
      <w:pPr>
        <w:tabs>
          <w:tab w:val="left" w:pos="1051"/>
        </w:tabs>
      </w:pPr>
    </w:p>
    <w:p w14:paraId="19ED28E1" w14:textId="07BE380D" w:rsidR="00DF65E1" w:rsidRDefault="00DF65E1" w:rsidP="003B57E3">
      <w:pPr>
        <w:tabs>
          <w:tab w:val="left" w:pos="1051"/>
        </w:tabs>
      </w:pPr>
      <w:r>
        <w:t>In other words, neither of these serious financial crises was a "currency crisis," nor did either of them lead to a currency crisis.</w:t>
      </w:r>
    </w:p>
    <w:p w14:paraId="2778F549" w14:textId="6666AB96" w:rsidR="00DF65E1" w:rsidRDefault="00DF65E1" w:rsidP="003B57E3">
      <w:pPr>
        <w:tabs>
          <w:tab w:val="left" w:pos="1051"/>
        </w:tabs>
      </w:pPr>
    </w:p>
    <w:p w14:paraId="37914CF4" w14:textId="63957217" w:rsidR="00DF65E1" w:rsidRDefault="00DF65E1" w:rsidP="003B57E3">
      <w:pPr>
        <w:tabs>
          <w:tab w:val="left" w:pos="1051"/>
        </w:tabs>
      </w:pPr>
      <w:r>
        <w:t xml:space="preserve">And yet currency crises, where the public rushes to sell everything denominated in a currency for assets payable in </w:t>
      </w:r>
      <w:r w:rsidR="005D6352">
        <w:t>other</w:t>
      </w:r>
      <w:r>
        <w:t xml:space="preserve"> currencies, are </w:t>
      </w:r>
      <w:r w:rsidR="00C6397D">
        <w:t>common</w:t>
      </w:r>
      <w:r>
        <w:t xml:space="preserve">, especially since there are </w:t>
      </w:r>
      <w:r w:rsidR="00F419A1">
        <w:t xml:space="preserve">globally </w:t>
      </w:r>
      <w:r>
        <w:t xml:space="preserve">over 130 mini-currencies that are vulnerable to them.  </w:t>
      </w:r>
    </w:p>
    <w:p w14:paraId="6D557EF7" w14:textId="77777777" w:rsidR="00DF65E1" w:rsidRDefault="00DF65E1" w:rsidP="003B57E3">
      <w:pPr>
        <w:tabs>
          <w:tab w:val="left" w:pos="1051"/>
        </w:tabs>
      </w:pPr>
    </w:p>
    <w:p w14:paraId="0BD190EE" w14:textId="27C028D2" w:rsidR="00DF65E1" w:rsidRDefault="00DF65E1" w:rsidP="003B57E3">
      <w:pPr>
        <w:tabs>
          <w:tab w:val="left" w:pos="1051"/>
        </w:tabs>
      </w:pPr>
      <w:r>
        <w:t>When a currency crisis does occur, it has impacts much like a liquidity crisis, since the currency is after all the basis of the financial sector's liquidity.</w:t>
      </w:r>
    </w:p>
    <w:p w14:paraId="5C61BC21" w14:textId="2C7B3307" w:rsidR="00DF65E1" w:rsidRDefault="00DF65E1" w:rsidP="003B57E3">
      <w:pPr>
        <w:tabs>
          <w:tab w:val="left" w:pos="1051"/>
        </w:tabs>
      </w:pPr>
    </w:p>
    <w:p w14:paraId="0D6162BF" w14:textId="4EF291AE" w:rsidR="00DF65E1" w:rsidRPr="00697FFA" w:rsidRDefault="00DF65E1" w:rsidP="003B57E3">
      <w:pPr>
        <w:tabs>
          <w:tab w:val="left" w:pos="1051"/>
        </w:tabs>
      </w:pPr>
      <w:r>
        <w:t xml:space="preserve">But the solution of a currency crisis is </w:t>
      </w:r>
      <w:r w:rsidR="00C6397D">
        <w:t>different because</w:t>
      </w:r>
      <w:r>
        <w:t xml:space="preserve"> the local monetary authority (</w:t>
      </w:r>
      <w:r w:rsidR="00710ADC">
        <w:t>the</w:t>
      </w:r>
      <w:r>
        <w:t xml:space="preserve"> central bank) can't resolve it the way the ECB finally did in the European debt </w:t>
      </w:r>
      <w:r w:rsidR="00C6397D">
        <w:t>crisis,</w:t>
      </w:r>
      <w:r>
        <w:t xml:space="preserve"> or the Fed did the in the U.S. liquidity crisis.  A supplier of outside asset</w:t>
      </w:r>
      <w:r w:rsidR="00F461F5">
        <w:t>s — global reserve currencies — needs to step in.</w:t>
      </w:r>
    </w:p>
    <w:p w14:paraId="7B90B483" w14:textId="77777777" w:rsidR="00187D7B" w:rsidRDefault="00187D7B" w:rsidP="003B57E3">
      <w:pPr>
        <w:tabs>
          <w:tab w:val="left" w:pos="1051"/>
        </w:tabs>
      </w:pPr>
    </w:p>
    <w:p w14:paraId="7969F47B" w14:textId="5F058B59" w:rsidR="00187D7B" w:rsidRPr="00F67E30" w:rsidRDefault="00187D7B" w:rsidP="003B57E3">
      <w:pPr>
        <w:pStyle w:val="Style1"/>
        <w:keepNext/>
        <w:numPr>
          <w:ilvl w:val="0"/>
          <w:numId w:val="22"/>
        </w:numPr>
      </w:pPr>
    </w:p>
    <w:p w14:paraId="70D50C4A" w14:textId="77777777" w:rsidR="00187D7B" w:rsidRDefault="00187D7B" w:rsidP="003B57E3">
      <w:pPr>
        <w:pStyle w:val="Style1"/>
        <w:keepNext/>
      </w:pPr>
    </w:p>
    <w:p w14:paraId="38456B98" w14:textId="73CDC747" w:rsidR="00187D7B" w:rsidRDefault="001E4F04" w:rsidP="003B57E3">
      <w:pPr>
        <w:tabs>
          <w:tab w:val="left" w:pos="1051"/>
        </w:tabs>
      </w:pPr>
      <w:r>
        <w:t xml:space="preserve">This course's module on international payments has previewed the dynamic that </w:t>
      </w:r>
      <w:r w:rsidR="00361AA6">
        <w:t xml:space="preserve">has </w:t>
      </w:r>
      <w:r>
        <w:t>frequently led to a currency crisis — the threat of the central bank running out of Official International Reserves (OIR)</w:t>
      </w:r>
      <w:r w:rsidR="00187D7B">
        <w:t>.</w:t>
      </w:r>
      <w:r w:rsidR="000109D7">
        <w:t xml:space="preserve">  Th</w:t>
      </w:r>
      <w:r w:rsidR="00361AA6">
        <w:t>e international-payments</w:t>
      </w:r>
      <w:r w:rsidR="000109D7">
        <w:t xml:space="preserve"> module emphasized the potential loss of market access by the country's banks and the disruption to international payments, imports, and the economy</w:t>
      </w:r>
      <w:r w:rsidR="00361AA6">
        <w:t>.  F</w:t>
      </w:r>
      <w:r w:rsidR="000109D7">
        <w:t xml:space="preserve">uel imports and electricity generation in Pakistan </w:t>
      </w:r>
      <w:r w:rsidR="00361AA6">
        <w:t>was a</w:t>
      </w:r>
      <w:r w:rsidR="000109D7">
        <w:t xml:space="preserve"> particular case.  </w:t>
      </w:r>
    </w:p>
    <w:p w14:paraId="2C699C25" w14:textId="6A980058" w:rsidR="003542ED" w:rsidRDefault="003542ED" w:rsidP="003B57E3">
      <w:pPr>
        <w:tabs>
          <w:tab w:val="left" w:pos="1051"/>
        </w:tabs>
      </w:pPr>
    </w:p>
    <w:p w14:paraId="6452260E" w14:textId="6FD8E356" w:rsidR="003542ED" w:rsidRPr="00697FFA" w:rsidRDefault="003542ED" w:rsidP="003B57E3">
      <w:pPr>
        <w:tabs>
          <w:tab w:val="left" w:pos="1051"/>
        </w:tabs>
      </w:pPr>
      <w:r>
        <w:t xml:space="preserve">Now, </w:t>
      </w:r>
      <w:r w:rsidR="00361AA6">
        <w:t xml:space="preserve">rather than focusing on the quantity dimension of FX reserves as in the previous </w:t>
      </w:r>
      <w:r w:rsidR="00833262">
        <w:t>module</w:t>
      </w:r>
      <w:r w:rsidR="006C5E57">
        <w:t>,</w:t>
      </w:r>
      <w:r w:rsidR="00833262">
        <w:t xml:space="preserve"> the</w:t>
      </w:r>
      <w:r>
        <w:t xml:space="preserve"> discussion will </w:t>
      </w:r>
      <w:r w:rsidR="00361AA6">
        <w:t>focus</w:t>
      </w:r>
      <w:r>
        <w:t xml:space="preserve"> on the price dimension</w:t>
      </w:r>
      <w:r w:rsidR="00361AA6">
        <w:t>, the exchange rate</w:t>
      </w:r>
      <w:r>
        <w:t>.</w:t>
      </w:r>
    </w:p>
    <w:p w14:paraId="5A3D71AC" w14:textId="77777777" w:rsidR="00187D7B" w:rsidRDefault="00187D7B" w:rsidP="003B57E3">
      <w:pPr>
        <w:tabs>
          <w:tab w:val="left" w:pos="1051"/>
        </w:tabs>
      </w:pPr>
    </w:p>
    <w:p w14:paraId="023EA9F5" w14:textId="40EA9496" w:rsidR="00187D7B" w:rsidRPr="00F67E30" w:rsidRDefault="00187D7B" w:rsidP="003B57E3">
      <w:pPr>
        <w:pStyle w:val="Style1"/>
        <w:keepNext/>
        <w:numPr>
          <w:ilvl w:val="0"/>
          <w:numId w:val="22"/>
        </w:numPr>
      </w:pPr>
    </w:p>
    <w:p w14:paraId="390AC0A5" w14:textId="77777777" w:rsidR="00187D7B" w:rsidRDefault="00187D7B" w:rsidP="003B57E3">
      <w:pPr>
        <w:pStyle w:val="Style1"/>
        <w:keepNext/>
      </w:pPr>
    </w:p>
    <w:p w14:paraId="1BB1F231" w14:textId="4C1DD4EB" w:rsidR="00B918CF" w:rsidRDefault="00B918CF" w:rsidP="003B57E3">
      <w:pPr>
        <w:tabs>
          <w:tab w:val="left" w:pos="1051"/>
        </w:tabs>
      </w:pPr>
      <w:r>
        <w:t>The case of the Thai currency crisis</w:t>
      </w:r>
      <w:r w:rsidR="006C5E57">
        <w:t xml:space="preserve"> of 1997</w:t>
      </w:r>
      <w:r>
        <w:t xml:space="preserve"> is chronicled in a superb essay by Radelet &amp; </w:t>
      </w:r>
      <w:r w:rsidR="00A93A42">
        <w:t>Sachs</w:t>
      </w:r>
      <w:r w:rsidR="00A77522">
        <w:t>.  It</w:t>
      </w:r>
      <w:r>
        <w:t xml:space="preserve"> is </w:t>
      </w:r>
      <w:r w:rsidR="00A77522">
        <w:t xml:space="preserve">also </w:t>
      </w:r>
      <w:r w:rsidR="004D36BA">
        <w:t xml:space="preserve">described </w:t>
      </w:r>
      <w:r>
        <w:t>in parts of Hinds's book on currency crises, which we will use again</w:t>
      </w:r>
      <w:r w:rsidR="00A77522">
        <w:t xml:space="preserve"> in</w:t>
      </w:r>
      <w:r>
        <w:t xml:space="preserve"> the course's module on currencies.</w:t>
      </w:r>
    </w:p>
    <w:p w14:paraId="1BCC23A4" w14:textId="77777777" w:rsidR="00B918CF" w:rsidRDefault="00B918CF" w:rsidP="003B57E3">
      <w:pPr>
        <w:tabs>
          <w:tab w:val="left" w:pos="1051"/>
        </w:tabs>
      </w:pPr>
    </w:p>
    <w:p w14:paraId="6C8D4CF6" w14:textId="13DC46D5" w:rsidR="00187D7B" w:rsidRDefault="0088568A" w:rsidP="003B57E3">
      <w:pPr>
        <w:tabs>
          <w:tab w:val="left" w:pos="1051"/>
        </w:tabs>
      </w:pPr>
      <w:r>
        <w:t xml:space="preserve">Thailand in 1997 had been an economic success story for </w:t>
      </w:r>
      <w:r w:rsidR="00C6397D">
        <w:t>several</w:t>
      </w:r>
      <w:r>
        <w:t xml:space="preserve"> years</w:t>
      </w:r>
      <w:r w:rsidR="002A5501">
        <w:t xml:space="preserve"> — it was </w:t>
      </w:r>
      <w:r>
        <w:t xml:space="preserve">spoken of as one of the new generation of "Asian Tigers," following the success of South Korea, Taiwan, Hong Kong, and Singapore in the first generation of </w:t>
      </w:r>
      <w:r w:rsidR="007C6B73">
        <w:t xml:space="preserve">Asian Tigers in </w:t>
      </w:r>
      <w:r>
        <w:t>the 1960s and 1970s</w:t>
      </w:r>
      <w:r w:rsidR="00187D7B">
        <w:t>.</w:t>
      </w:r>
    </w:p>
    <w:p w14:paraId="52475433" w14:textId="15760B5C" w:rsidR="0088568A" w:rsidRDefault="0088568A" w:rsidP="003B57E3">
      <w:pPr>
        <w:tabs>
          <w:tab w:val="left" w:pos="1051"/>
        </w:tabs>
      </w:pPr>
    </w:p>
    <w:p w14:paraId="6C9E924C" w14:textId="77EE5013" w:rsidR="0088568A" w:rsidRDefault="0088568A" w:rsidP="003B57E3">
      <w:pPr>
        <w:tabs>
          <w:tab w:val="left" w:pos="1051"/>
        </w:tabs>
      </w:pPr>
      <w:r>
        <w:t xml:space="preserve">That success gave Thai </w:t>
      </w:r>
      <w:r w:rsidR="004010D6">
        <w:t>businesses</w:t>
      </w:r>
      <w:r>
        <w:t xml:space="preserve"> access to global financial markets, which they used in part to </w:t>
      </w:r>
      <w:r w:rsidR="00544DCD">
        <w:t xml:space="preserve">borrow money they used to </w:t>
      </w:r>
      <w:r>
        <w:t>buy Thai real estate and stocks, driving prices up in both those markets.</w:t>
      </w:r>
    </w:p>
    <w:p w14:paraId="6427DB3D" w14:textId="68129B29" w:rsidR="0088568A" w:rsidRDefault="0088568A" w:rsidP="003B57E3">
      <w:pPr>
        <w:tabs>
          <w:tab w:val="left" w:pos="1051"/>
        </w:tabs>
      </w:pPr>
    </w:p>
    <w:p w14:paraId="2CD7693C" w14:textId="317FE43D" w:rsidR="0088568A" w:rsidRPr="00697FFA" w:rsidRDefault="0088568A" w:rsidP="003B57E3">
      <w:pPr>
        <w:tabs>
          <w:tab w:val="left" w:pos="1051"/>
        </w:tabs>
      </w:pPr>
      <w:r>
        <w:t>Higher housing and stock prices did not, of course, help Thai industry.  On the contrary, industry in Japan, China, and Mexico was competing more sharply</w:t>
      </w:r>
      <w:r w:rsidR="00233A0A">
        <w:t xml:space="preserve"> with Thai producers</w:t>
      </w:r>
      <w:r>
        <w:t xml:space="preserve">, partly </w:t>
      </w:r>
      <w:r w:rsidR="00C6397D">
        <w:t>because of</w:t>
      </w:r>
      <w:r>
        <w:t xml:space="preserve"> changes in their </w:t>
      </w:r>
      <w:r w:rsidR="00C60D26">
        <w:t xml:space="preserve">currencies' exchange rates.  </w:t>
      </w:r>
      <w:r w:rsidR="00C6397D">
        <w:t>So,</w:t>
      </w:r>
      <w:r w:rsidR="00C60D26">
        <w:t xml:space="preserve"> Thailand's BOP was at risk from the </w:t>
      </w:r>
      <w:r w:rsidR="003F1048">
        <w:t>side of exports</w:t>
      </w:r>
      <w:r w:rsidR="00C60D26">
        <w:t>.</w:t>
      </w:r>
    </w:p>
    <w:p w14:paraId="03CE741B" w14:textId="77777777" w:rsidR="00187D7B" w:rsidRDefault="00187D7B" w:rsidP="003B57E3">
      <w:pPr>
        <w:tabs>
          <w:tab w:val="left" w:pos="1051"/>
        </w:tabs>
      </w:pPr>
    </w:p>
    <w:p w14:paraId="2248D14E" w14:textId="6A7ACC69" w:rsidR="00187D7B" w:rsidRPr="00F67E30" w:rsidRDefault="00187D7B" w:rsidP="003B57E3">
      <w:pPr>
        <w:pStyle w:val="Style1"/>
        <w:keepNext/>
        <w:numPr>
          <w:ilvl w:val="0"/>
          <w:numId w:val="22"/>
        </w:numPr>
      </w:pPr>
    </w:p>
    <w:p w14:paraId="5E92583A" w14:textId="77777777" w:rsidR="00187D7B" w:rsidRDefault="00187D7B" w:rsidP="003B57E3">
      <w:pPr>
        <w:pStyle w:val="Style1"/>
        <w:keepNext/>
      </w:pPr>
    </w:p>
    <w:p w14:paraId="2F4FA06F" w14:textId="2715FAF9" w:rsidR="00187D7B" w:rsidRDefault="005E2CEC" w:rsidP="003B57E3">
      <w:pPr>
        <w:tabs>
          <w:tab w:val="left" w:pos="1051"/>
        </w:tabs>
      </w:pPr>
      <w:r>
        <w:t>T</w:t>
      </w:r>
      <w:r w:rsidR="000F7D54">
        <w:t xml:space="preserve">he prices of </w:t>
      </w:r>
      <w:r>
        <w:t xml:space="preserve">Thailand's </w:t>
      </w:r>
      <w:r w:rsidR="000F7D54">
        <w:t xml:space="preserve">speculative assets like real estate and stocks peaked </w:t>
      </w:r>
      <w:r w:rsidR="00891A17">
        <w:t>in late 1996</w:t>
      </w:r>
      <w:r>
        <w:t xml:space="preserve">, in typical "business cycle" style, </w:t>
      </w:r>
      <w:r w:rsidR="000F7D54">
        <w:t xml:space="preserve">and </w:t>
      </w:r>
      <w:r>
        <w:t xml:space="preserve">then </w:t>
      </w:r>
      <w:r w:rsidR="000F7D54">
        <w:t>turned down</w:t>
      </w:r>
      <w:r w:rsidR="00187D7B">
        <w:t>.</w:t>
      </w:r>
      <w:r w:rsidR="000F7D54">
        <w:t xml:space="preserve">  Thai investors, aware of assets' downside price risk and wanting to put their winnings in safe places, converted their funds into global reserve currencies, drawing down the central bank's OIR.</w:t>
      </w:r>
    </w:p>
    <w:p w14:paraId="5D4D89A3" w14:textId="02A61161" w:rsidR="000F7D54" w:rsidRDefault="000F7D54" w:rsidP="003B57E3">
      <w:pPr>
        <w:tabs>
          <w:tab w:val="left" w:pos="1051"/>
        </w:tabs>
      </w:pPr>
    </w:p>
    <w:p w14:paraId="37F55D94" w14:textId="0ADD4A79" w:rsidR="000F7D54" w:rsidRPr="00697FFA" w:rsidRDefault="000F7D54" w:rsidP="003B57E3">
      <w:pPr>
        <w:tabs>
          <w:tab w:val="left" w:pos="1051"/>
        </w:tabs>
      </w:pPr>
      <w:r>
        <w:t>This, by itself, did not harm industry in Thailand.</w:t>
      </w:r>
    </w:p>
    <w:p w14:paraId="1CCA835D" w14:textId="77777777" w:rsidR="00187D7B" w:rsidRDefault="00187D7B" w:rsidP="003B57E3">
      <w:pPr>
        <w:tabs>
          <w:tab w:val="left" w:pos="1051"/>
        </w:tabs>
      </w:pPr>
    </w:p>
    <w:p w14:paraId="201E53BD" w14:textId="1699CA5F" w:rsidR="00187D7B" w:rsidRPr="00F67E30" w:rsidRDefault="00187D7B" w:rsidP="003B57E3">
      <w:pPr>
        <w:pStyle w:val="Style1"/>
        <w:keepNext/>
        <w:numPr>
          <w:ilvl w:val="0"/>
          <w:numId w:val="22"/>
        </w:numPr>
      </w:pPr>
    </w:p>
    <w:p w14:paraId="467F420A" w14:textId="77777777" w:rsidR="00187D7B" w:rsidRDefault="00187D7B" w:rsidP="003B57E3">
      <w:pPr>
        <w:pStyle w:val="Style1"/>
        <w:keepNext/>
      </w:pPr>
    </w:p>
    <w:p w14:paraId="1B15654F" w14:textId="365CB628" w:rsidR="00187D7B" w:rsidRPr="00697FFA" w:rsidRDefault="00891A17" w:rsidP="003B57E3">
      <w:pPr>
        <w:tabs>
          <w:tab w:val="left" w:pos="1051"/>
        </w:tabs>
      </w:pPr>
      <w:r>
        <w:t xml:space="preserve">But by June 1997, international banks became concerned about the Thai central bank's reserves and joined the </w:t>
      </w:r>
      <w:r w:rsidR="001503B6">
        <w:t xml:space="preserve">trend towards minimizing holdings </w:t>
      </w:r>
      <w:r w:rsidR="004A2A40">
        <w:t>of</w:t>
      </w:r>
      <w:r w:rsidR="001503B6">
        <w:t xml:space="preserve"> Thai currency, the baht</w:t>
      </w:r>
      <w:r w:rsidR="00187D7B">
        <w:t>.</w:t>
      </w:r>
      <w:r w:rsidR="004A2A40">
        <w:t xml:space="preserve">  A</w:t>
      </w:r>
      <w:r w:rsidR="001503B6">
        <w:t xml:space="preserve"> crisis followed quickly.  Thailand's central bank could not attract OIR without paying a higher price for </w:t>
      </w:r>
      <w:r w:rsidR="00805193">
        <w:t>FX</w:t>
      </w:r>
      <w:r w:rsidR="001503B6">
        <w:t>,</w:t>
      </w:r>
      <w:r w:rsidR="003B468C">
        <w:t xml:space="preserve"> which constituted a depreciation of</w:t>
      </w:r>
      <w:r w:rsidR="001503B6">
        <w:t xml:space="preserve"> the </w:t>
      </w:r>
      <w:r w:rsidR="00994B40">
        <w:t xml:space="preserve">baht's </w:t>
      </w:r>
      <w:r w:rsidR="001503B6">
        <w:t>exchange rate.</w:t>
      </w:r>
    </w:p>
    <w:p w14:paraId="1EDC3BDA" w14:textId="77777777" w:rsidR="00187D7B" w:rsidRDefault="00187D7B" w:rsidP="003B57E3">
      <w:pPr>
        <w:tabs>
          <w:tab w:val="left" w:pos="1051"/>
        </w:tabs>
      </w:pPr>
    </w:p>
    <w:p w14:paraId="01F0DDDC" w14:textId="1B56C44D" w:rsidR="00187D7B" w:rsidRPr="00F67E30" w:rsidRDefault="00187D7B" w:rsidP="003B57E3">
      <w:pPr>
        <w:pStyle w:val="Style1"/>
        <w:keepNext/>
        <w:numPr>
          <w:ilvl w:val="0"/>
          <w:numId w:val="22"/>
        </w:numPr>
      </w:pPr>
    </w:p>
    <w:p w14:paraId="107BF53A" w14:textId="77777777" w:rsidR="00187D7B" w:rsidRDefault="00187D7B" w:rsidP="003B57E3">
      <w:pPr>
        <w:pStyle w:val="Style1"/>
        <w:keepNext/>
      </w:pPr>
    </w:p>
    <w:p w14:paraId="196311DC" w14:textId="23F5FFC5" w:rsidR="00590BD8" w:rsidRDefault="00D8423D" w:rsidP="003B57E3">
      <w:pPr>
        <w:tabs>
          <w:tab w:val="left" w:pos="1051"/>
        </w:tabs>
      </w:pPr>
      <w:r>
        <w:t xml:space="preserve">The </w:t>
      </w:r>
      <w:r w:rsidR="00561B89">
        <w:t xml:space="preserve">exchange rate's </w:t>
      </w:r>
      <w:r>
        <w:t>depreciation</w:t>
      </w:r>
      <w:r w:rsidR="001503B6">
        <w:t xml:space="preserve"> only made things worse</w:t>
      </w:r>
      <w:r w:rsidR="000E1C19">
        <w:t xml:space="preserve">, because it removed the complacency that </w:t>
      </w:r>
      <w:r w:rsidR="001503B6">
        <w:t xml:space="preserve">a long period of </w:t>
      </w:r>
      <w:r w:rsidR="000E1C19">
        <w:t xml:space="preserve">a </w:t>
      </w:r>
      <w:r w:rsidR="001503B6">
        <w:t>constan</w:t>
      </w:r>
      <w:r w:rsidR="000E1C19">
        <w:t xml:space="preserve">t exchange rates had created and made </w:t>
      </w:r>
      <w:r w:rsidR="007962D3">
        <w:t xml:space="preserve">the prospect of further </w:t>
      </w:r>
      <w:r w:rsidR="001503B6">
        <w:t xml:space="preserve">depreciation </w:t>
      </w:r>
      <w:r w:rsidR="000E1C19">
        <w:t>an additional</w:t>
      </w:r>
      <w:r w:rsidR="001503B6">
        <w:t xml:space="preserve"> risk factor</w:t>
      </w:r>
      <w:r w:rsidR="000E1C19">
        <w:t>.  This</w:t>
      </w:r>
      <w:r w:rsidR="001503B6">
        <w:t xml:space="preserve"> provoked even stronger efforts to shift assets to global reserve currencies.</w:t>
      </w:r>
      <w:r w:rsidR="00590BD8">
        <w:t xml:space="preserve">  </w:t>
      </w:r>
    </w:p>
    <w:p w14:paraId="064048F7" w14:textId="77777777" w:rsidR="00F90174" w:rsidRDefault="00F90174" w:rsidP="003B57E3">
      <w:pPr>
        <w:tabs>
          <w:tab w:val="left" w:pos="1051"/>
        </w:tabs>
      </w:pPr>
    </w:p>
    <w:p w14:paraId="0DFBE0E8" w14:textId="1620E00E" w:rsidR="00F90174" w:rsidRPr="00697FFA" w:rsidRDefault="00F90174" w:rsidP="003B57E3">
      <w:pPr>
        <w:tabs>
          <w:tab w:val="left" w:pos="1051"/>
        </w:tabs>
      </w:pPr>
      <w:r>
        <w:t>Fund managers in global financial centers scarcely wanted to risk having to explain to their investors why, having suffered losses on the baht, they sat around until losses in the other new Tigers hit them too, so they sold the currencies of Indonesia, Malaysia, and the Philippines equally.  It was no use pointing out that giving the Philippines the title of a new "Tiger" was mainly wishful thinking and that the country had in fact scarcely attracted any investors (or debt): its currency dropped in line with the others.</w:t>
      </w:r>
    </w:p>
    <w:p w14:paraId="051F7F13" w14:textId="77777777" w:rsidR="00590BD8" w:rsidRDefault="00590BD8" w:rsidP="003B57E3">
      <w:pPr>
        <w:tabs>
          <w:tab w:val="left" w:pos="1051"/>
        </w:tabs>
      </w:pPr>
    </w:p>
    <w:p w14:paraId="06A77919" w14:textId="77777777" w:rsidR="00BD6BE4" w:rsidRDefault="00BD6BE4" w:rsidP="003B57E3">
      <w:pPr>
        <w:pStyle w:val="ListParagraph"/>
        <w:keepNext/>
        <w:widowControl/>
        <w:numPr>
          <w:ilvl w:val="0"/>
          <w:numId w:val="22"/>
        </w:numPr>
        <w:tabs>
          <w:tab w:val="left" w:pos="1051"/>
        </w:tabs>
      </w:pPr>
    </w:p>
    <w:p w14:paraId="0872ACC0" w14:textId="6B3BD0F8" w:rsidR="00BD6BE4" w:rsidRDefault="00BD6BE4" w:rsidP="003B57E3">
      <w:pPr>
        <w:keepNext/>
        <w:tabs>
          <w:tab w:val="left" w:pos="1051"/>
        </w:tabs>
      </w:pPr>
    </w:p>
    <w:p w14:paraId="70CC9E7F" w14:textId="7B3D139A" w:rsidR="00F90174" w:rsidRDefault="00F90174" w:rsidP="003B57E3">
      <w:pPr>
        <w:tabs>
          <w:tab w:val="left" w:pos="1051"/>
        </w:tabs>
      </w:pPr>
      <w:r>
        <w:t>This slide repeats the chart showing the precipitous drop in the values of various East Asian currencies, all at the same time.</w:t>
      </w:r>
    </w:p>
    <w:p w14:paraId="36C5792F" w14:textId="77777777" w:rsidR="00F90174" w:rsidRDefault="00F90174" w:rsidP="003B57E3">
      <w:pPr>
        <w:tabs>
          <w:tab w:val="left" w:pos="1051"/>
        </w:tabs>
      </w:pPr>
    </w:p>
    <w:p w14:paraId="10763594" w14:textId="1F39B68B" w:rsidR="00187D7B" w:rsidRPr="00F67E30" w:rsidRDefault="00187D7B" w:rsidP="003B57E3">
      <w:pPr>
        <w:pStyle w:val="Style1"/>
        <w:keepNext/>
        <w:numPr>
          <w:ilvl w:val="0"/>
          <w:numId w:val="22"/>
        </w:numPr>
      </w:pPr>
    </w:p>
    <w:p w14:paraId="21F21AC0" w14:textId="77777777" w:rsidR="00187D7B" w:rsidRDefault="00187D7B" w:rsidP="003B57E3">
      <w:pPr>
        <w:pStyle w:val="Style1"/>
        <w:keepNext/>
      </w:pPr>
    </w:p>
    <w:p w14:paraId="5FF90320" w14:textId="03FE179E" w:rsidR="00187D7B" w:rsidRPr="00697FFA" w:rsidRDefault="00B918CF" w:rsidP="003B57E3">
      <w:pPr>
        <w:tabs>
          <w:tab w:val="left" w:pos="1051"/>
        </w:tabs>
      </w:pPr>
      <w:r>
        <w:t>The essential, underlying fact driving the currency crisis was that the Thai baht is only used in Thailand and the immediate region</w:t>
      </w:r>
      <w:r w:rsidR="00187D7B">
        <w:t>.</w:t>
      </w:r>
      <w:r>
        <w:t xml:space="preserve">  It's not a global currency, and certainly not a global reserve currency.  The international banks will quickly sell it if it seems to be a risk</w:t>
      </w:r>
      <w:r w:rsidR="002918D9">
        <w:t xml:space="preserve"> and it will depreciate.  For internationally mobile financiers, it's not a store of value.</w:t>
      </w:r>
    </w:p>
    <w:p w14:paraId="6EF9D87C" w14:textId="77777777" w:rsidR="00187D7B" w:rsidRDefault="00187D7B" w:rsidP="003B57E3">
      <w:pPr>
        <w:tabs>
          <w:tab w:val="left" w:pos="1051"/>
        </w:tabs>
      </w:pPr>
    </w:p>
    <w:p w14:paraId="01F3028A" w14:textId="2575636C" w:rsidR="00187D7B" w:rsidRPr="00F67E30" w:rsidRDefault="00187D7B" w:rsidP="003B57E3">
      <w:pPr>
        <w:pStyle w:val="Style1"/>
        <w:keepNext/>
        <w:numPr>
          <w:ilvl w:val="0"/>
          <w:numId w:val="22"/>
        </w:numPr>
      </w:pPr>
    </w:p>
    <w:p w14:paraId="62B5146A" w14:textId="77777777" w:rsidR="00187D7B" w:rsidRDefault="00187D7B" w:rsidP="003B57E3">
      <w:pPr>
        <w:pStyle w:val="Style1"/>
        <w:keepNext/>
      </w:pPr>
    </w:p>
    <w:p w14:paraId="57DD0DC3" w14:textId="71B5131F" w:rsidR="00187D7B" w:rsidRPr="00697FFA" w:rsidRDefault="00D7737F" w:rsidP="003B57E3">
      <w:pPr>
        <w:tabs>
          <w:tab w:val="left" w:pos="1051"/>
        </w:tabs>
      </w:pPr>
      <w:r>
        <w:t>Radelet &amp; Sachs also see the Thai case as one involving the relations between global and local capital centers</w:t>
      </w:r>
      <w:r w:rsidR="002B43A1">
        <w:t xml:space="preserve">, rather than being just an event internal </w:t>
      </w:r>
      <w:r>
        <w:t>to Thailand</w:t>
      </w:r>
      <w:r w:rsidR="00187D7B">
        <w:t>.</w:t>
      </w:r>
    </w:p>
    <w:p w14:paraId="5665C7DB" w14:textId="77777777" w:rsidR="00187D7B" w:rsidRDefault="00187D7B" w:rsidP="003B57E3">
      <w:pPr>
        <w:tabs>
          <w:tab w:val="left" w:pos="1051"/>
        </w:tabs>
      </w:pPr>
    </w:p>
    <w:p w14:paraId="19B10A7B" w14:textId="1BEA4395" w:rsidR="00187D7B" w:rsidRPr="00F67E30" w:rsidRDefault="00187D7B" w:rsidP="003B57E3">
      <w:pPr>
        <w:pStyle w:val="Style1"/>
        <w:keepNext/>
        <w:numPr>
          <w:ilvl w:val="0"/>
          <w:numId w:val="22"/>
        </w:numPr>
      </w:pPr>
    </w:p>
    <w:p w14:paraId="37EBD611" w14:textId="77777777" w:rsidR="00187D7B" w:rsidRDefault="00187D7B" w:rsidP="003B57E3">
      <w:pPr>
        <w:pStyle w:val="Style1"/>
        <w:keepNext/>
      </w:pPr>
    </w:p>
    <w:p w14:paraId="65F0CB47" w14:textId="77777777" w:rsidR="001E6203" w:rsidRDefault="00CE0CFF" w:rsidP="003B57E3">
      <w:pPr>
        <w:tabs>
          <w:tab w:val="left" w:pos="1051"/>
        </w:tabs>
      </w:pPr>
      <w:r>
        <w:t>The IMF's proposed solution to the currency run was for the local central banks to raise interest rates</w:t>
      </w:r>
      <w:r w:rsidR="00EA0754">
        <w:t>.</w:t>
      </w:r>
      <w:r w:rsidR="001E6203">
        <w:t xml:space="preserve">  This would perhaps encourage people to hold baht in Thai banks, although it also created debt crises for many Thai banks and businesses.</w:t>
      </w:r>
      <w:r w:rsidR="00EA0754">
        <w:t xml:space="preserve">  </w:t>
      </w:r>
    </w:p>
    <w:p w14:paraId="3709C36B" w14:textId="77777777" w:rsidR="001E6203" w:rsidRDefault="001E6203" w:rsidP="003B57E3">
      <w:pPr>
        <w:tabs>
          <w:tab w:val="left" w:pos="1051"/>
        </w:tabs>
      </w:pPr>
    </w:p>
    <w:p w14:paraId="3ABAD8B1" w14:textId="6A972969" w:rsidR="003D1C1A" w:rsidRPr="00697FFA" w:rsidRDefault="00EA0754" w:rsidP="003B57E3">
      <w:pPr>
        <w:tabs>
          <w:tab w:val="left" w:pos="1051"/>
        </w:tabs>
      </w:pPr>
      <w:r>
        <w:t>T</w:t>
      </w:r>
      <w:r w:rsidR="004B5E8F">
        <w:t>he results</w:t>
      </w:r>
      <w:r w:rsidR="001E6203">
        <w:t xml:space="preserve"> of the tight credit policy</w:t>
      </w:r>
      <w:r w:rsidR="00CE0CFF">
        <w:t xml:space="preserve">, especially </w:t>
      </w:r>
      <w:r w:rsidR="004B5E8F">
        <w:t>in Indonesia</w:t>
      </w:r>
      <w:r w:rsidR="00CE0CFF">
        <w:t>,</w:t>
      </w:r>
      <w:r w:rsidR="004B5E8F">
        <w:t xml:space="preserve"> </w:t>
      </w:r>
      <w:r w:rsidR="001E6203">
        <w:t xml:space="preserve">were poor and </w:t>
      </w:r>
      <w:r w:rsidR="00CE0CFF">
        <w:t xml:space="preserve">did substantial damage to the Fund's global reputation.  (It also </w:t>
      </w:r>
      <w:r w:rsidR="004B5E8F">
        <w:t>gave rise</w:t>
      </w:r>
      <w:r w:rsidR="00CE0CFF">
        <w:t>,</w:t>
      </w:r>
      <w:r w:rsidR="004B5E8F">
        <w:t xml:space="preserve"> over the years</w:t>
      </w:r>
      <w:r w:rsidR="00CE0CFF">
        <w:t>,</w:t>
      </w:r>
      <w:r w:rsidR="004B5E8F">
        <w:t xml:space="preserve"> to a lot of self-criticism </w:t>
      </w:r>
      <w:r>
        <w:t>with</w:t>
      </w:r>
      <w:r w:rsidR="004B5E8F">
        <w:t>in the IMF itself.</w:t>
      </w:r>
      <w:r w:rsidR="00CE0CFF">
        <w:t>)</w:t>
      </w:r>
    </w:p>
    <w:p w14:paraId="6917B1EE" w14:textId="6F3A1E45" w:rsidR="00187D7B" w:rsidRDefault="00187D7B" w:rsidP="003B57E3">
      <w:pPr>
        <w:tabs>
          <w:tab w:val="left" w:pos="1051"/>
        </w:tabs>
      </w:pPr>
    </w:p>
    <w:p w14:paraId="23A822F9" w14:textId="04525F23" w:rsidR="00BD6BE4" w:rsidRDefault="00BD6BE4" w:rsidP="003B57E3">
      <w:pPr>
        <w:pStyle w:val="ListParagraph"/>
        <w:widowControl/>
        <w:numPr>
          <w:ilvl w:val="0"/>
          <w:numId w:val="22"/>
        </w:numPr>
        <w:tabs>
          <w:tab w:val="left" w:pos="1051"/>
        </w:tabs>
      </w:pPr>
    </w:p>
    <w:p w14:paraId="6718696D" w14:textId="187FF767" w:rsidR="00BD6BE4" w:rsidRDefault="00BD6BE4" w:rsidP="003B57E3">
      <w:pPr>
        <w:tabs>
          <w:tab w:val="left" w:pos="1051"/>
        </w:tabs>
      </w:pPr>
    </w:p>
    <w:p w14:paraId="0042DB33" w14:textId="180727C5" w:rsidR="00557FDD" w:rsidRDefault="00557FDD" w:rsidP="003B57E3">
      <w:pPr>
        <w:tabs>
          <w:tab w:val="left" w:pos="1051"/>
        </w:tabs>
      </w:pPr>
      <w:r>
        <w:t xml:space="preserve">This slide </w:t>
      </w:r>
      <w:r w:rsidR="0066642F">
        <w:t>repeats</w:t>
      </w:r>
      <w:r>
        <w:t xml:space="preserve"> the famous image </w:t>
      </w:r>
      <w:r w:rsidR="0066642F">
        <w:t xml:space="preserve">that we have already seen in the module on International Payments, </w:t>
      </w:r>
      <w:r>
        <w:t xml:space="preserve">of the IMF Managing Director and Indonesian President Suharto as the president </w:t>
      </w:r>
      <w:r>
        <w:lastRenderedPageBreak/>
        <w:t>signs economic plan</w:t>
      </w:r>
      <w:r w:rsidR="00BF08FE">
        <w:t xml:space="preserve"> in January 1998</w:t>
      </w:r>
      <w:r>
        <w:t>.  The body language counted for more than the terms of the plan did.</w:t>
      </w:r>
    </w:p>
    <w:p w14:paraId="6D1AF29C" w14:textId="77777777" w:rsidR="00557FDD" w:rsidRDefault="00557FDD" w:rsidP="003B57E3">
      <w:pPr>
        <w:tabs>
          <w:tab w:val="left" w:pos="1051"/>
        </w:tabs>
      </w:pPr>
    </w:p>
    <w:p w14:paraId="6AF25C63" w14:textId="3D93379F" w:rsidR="00187D7B" w:rsidRPr="00F67E30" w:rsidRDefault="00187D7B" w:rsidP="003B57E3">
      <w:pPr>
        <w:pStyle w:val="Style1"/>
        <w:keepNext/>
        <w:numPr>
          <w:ilvl w:val="0"/>
          <w:numId w:val="22"/>
        </w:numPr>
      </w:pPr>
    </w:p>
    <w:p w14:paraId="6ECF43E3" w14:textId="77777777" w:rsidR="00187D7B" w:rsidRDefault="00187D7B" w:rsidP="003B57E3">
      <w:pPr>
        <w:pStyle w:val="Style1"/>
        <w:keepNext/>
      </w:pPr>
    </w:p>
    <w:p w14:paraId="206C5A78" w14:textId="517E15A6" w:rsidR="00187D7B" w:rsidRPr="00697FFA" w:rsidRDefault="00E621FD" w:rsidP="003B57E3">
      <w:pPr>
        <w:tabs>
          <w:tab w:val="left" w:pos="1051"/>
        </w:tabs>
      </w:pPr>
      <w:r>
        <w:t xml:space="preserve">Currency depreciation in Southeast Asia ballooned the cost of existing </w:t>
      </w:r>
      <w:r w:rsidR="00EA0996">
        <w:t xml:space="preserve">foreign </w:t>
      </w:r>
      <w:r>
        <w:t>debts.  Many financial institutions, already weakened by the business-cycle losses in real estate and stocks, were bankrupted by the debt burden.  Attracting financing by offering higher interest rates was neither profitable nor likely to succeed, a</w:t>
      </w:r>
      <w:r w:rsidR="00CE0CFF">
        <w:t>s</w:t>
      </w:r>
      <w:r>
        <w:t xml:space="preserve"> the price incentive of higher interest rates was inadequate to overcome the likelihood of capital loss in failing financial institutions</w:t>
      </w:r>
      <w:r w:rsidR="00187D7B">
        <w:t>.</w:t>
      </w:r>
    </w:p>
    <w:p w14:paraId="77D782EF" w14:textId="77777777" w:rsidR="00187D7B" w:rsidRDefault="00187D7B" w:rsidP="003B57E3">
      <w:pPr>
        <w:tabs>
          <w:tab w:val="left" w:pos="1051"/>
        </w:tabs>
      </w:pPr>
    </w:p>
    <w:p w14:paraId="21C706C2" w14:textId="360E9A7D" w:rsidR="00187D7B" w:rsidRPr="00F67E30" w:rsidRDefault="00187D7B" w:rsidP="003B57E3">
      <w:pPr>
        <w:pStyle w:val="Style1"/>
        <w:keepNext/>
        <w:numPr>
          <w:ilvl w:val="0"/>
          <w:numId w:val="22"/>
        </w:numPr>
      </w:pPr>
    </w:p>
    <w:p w14:paraId="6B5B04BC" w14:textId="69D11646" w:rsidR="00187D7B" w:rsidRDefault="00187D7B" w:rsidP="003B57E3">
      <w:pPr>
        <w:pStyle w:val="Style1"/>
        <w:keepNext/>
      </w:pPr>
    </w:p>
    <w:p w14:paraId="4BA6A765" w14:textId="2645174F" w:rsidR="0021585D" w:rsidRDefault="0021585D" w:rsidP="003B57E3">
      <w:pPr>
        <w:tabs>
          <w:tab w:val="left" w:pos="1051"/>
        </w:tabs>
      </w:pPr>
      <w:r>
        <w:t xml:space="preserve">In each of the most affected countries, the solution turned out to be provision of </w:t>
      </w:r>
      <w:r w:rsidR="00AB21EF">
        <w:t xml:space="preserve">FX </w:t>
      </w:r>
      <w:r>
        <w:t xml:space="preserve">financing in </w:t>
      </w:r>
      <w:r w:rsidR="00F25C9C">
        <w:t xml:space="preserve">the form of </w:t>
      </w:r>
      <w:r>
        <w:t>global reserve currencies, which gave the economies the wherewithal to prop up local financial institutions and stop the flight from the institutions and from the currencies, both globally and locally.</w:t>
      </w:r>
    </w:p>
    <w:p w14:paraId="64A84353" w14:textId="262BA4E4" w:rsidR="0021585D" w:rsidRDefault="0021585D" w:rsidP="003B57E3">
      <w:pPr>
        <w:tabs>
          <w:tab w:val="left" w:pos="1051"/>
        </w:tabs>
      </w:pPr>
    </w:p>
    <w:p w14:paraId="73ECCFC1" w14:textId="02218222" w:rsidR="0021585D" w:rsidRDefault="0021585D" w:rsidP="003B57E3">
      <w:pPr>
        <w:pStyle w:val="Style1"/>
      </w:pPr>
      <w:r>
        <w:t>Radelet and Sachs describe the "different approach" that successfully stemmed the countries' crises.</w:t>
      </w:r>
    </w:p>
    <w:p w14:paraId="5EEB0EC1" w14:textId="77777777" w:rsidR="0021585D" w:rsidRDefault="0021585D" w:rsidP="003B57E3">
      <w:pPr>
        <w:pStyle w:val="Style1"/>
      </w:pPr>
    </w:p>
    <w:p w14:paraId="22F46D14" w14:textId="16096D2A" w:rsidR="00BD6BE4" w:rsidRDefault="00BD6BE4" w:rsidP="003B57E3">
      <w:pPr>
        <w:pStyle w:val="Style1"/>
        <w:keepNext/>
        <w:numPr>
          <w:ilvl w:val="0"/>
          <w:numId w:val="22"/>
        </w:numPr>
      </w:pPr>
    </w:p>
    <w:p w14:paraId="21CB36BE" w14:textId="77777777" w:rsidR="0021585D" w:rsidRDefault="0021585D" w:rsidP="003B57E3">
      <w:pPr>
        <w:keepNext/>
        <w:tabs>
          <w:tab w:val="left" w:pos="1051"/>
        </w:tabs>
      </w:pPr>
    </w:p>
    <w:p w14:paraId="00AAB74E" w14:textId="44928668" w:rsidR="0021585D" w:rsidRPr="00697FFA" w:rsidRDefault="0021585D" w:rsidP="003B57E3">
      <w:pPr>
        <w:tabs>
          <w:tab w:val="left" w:pos="1051"/>
        </w:tabs>
      </w:pPr>
      <w:r>
        <w:t>This slide refers to the cas</w:t>
      </w:r>
      <w:r w:rsidR="000D7B23">
        <w:t>e</w:t>
      </w:r>
      <w:r>
        <w:t xml:space="preserve"> of Thailand.</w:t>
      </w:r>
    </w:p>
    <w:p w14:paraId="02AD9005" w14:textId="02DB1EFD" w:rsidR="00BD6BE4" w:rsidRDefault="00BD6BE4" w:rsidP="003B57E3">
      <w:pPr>
        <w:pStyle w:val="Style1"/>
      </w:pPr>
    </w:p>
    <w:p w14:paraId="7655A478" w14:textId="4E938F1F" w:rsidR="00BD6BE4" w:rsidRDefault="00BD6BE4" w:rsidP="003B57E3">
      <w:pPr>
        <w:pStyle w:val="Style1"/>
        <w:keepNext/>
        <w:numPr>
          <w:ilvl w:val="0"/>
          <w:numId w:val="22"/>
        </w:numPr>
      </w:pPr>
    </w:p>
    <w:p w14:paraId="78D945C0" w14:textId="77777777" w:rsidR="0021585D" w:rsidRDefault="0021585D" w:rsidP="003B57E3">
      <w:pPr>
        <w:keepNext/>
        <w:tabs>
          <w:tab w:val="left" w:pos="1051"/>
        </w:tabs>
      </w:pPr>
    </w:p>
    <w:p w14:paraId="4255C592" w14:textId="74D50AA3" w:rsidR="0021585D" w:rsidRPr="00697FFA" w:rsidRDefault="0021585D" w:rsidP="003B57E3">
      <w:pPr>
        <w:tabs>
          <w:tab w:val="left" w:pos="1051"/>
        </w:tabs>
      </w:pPr>
      <w:r>
        <w:t>This slide refers to</w:t>
      </w:r>
      <w:r w:rsidR="000D7B23">
        <w:t xml:space="preserve"> </w:t>
      </w:r>
      <w:r>
        <w:t>the cas</w:t>
      </w:r>
      <w:r w:rsidR="000D7B23">
        <w:t>e</w:t>
      </w:r>
      <w:r>
        <w:t xml:space="preserve"> of South Korea.</w:t>
      </w:r>
    </w:p>
    <w:p w14:paraId="0DE67819" w14:textId="7018D654" w:rsidR="00BD6BE4" w:rsidRDefault="00BD6BE4" w:rsidP="003B57E3">
      <w:pPr>
        <w:pStyle w:val="Style1"/>
      </w:pPr>
    </w:p>
    <w:p w14:paraId="03E33973" w14:textId="3F1F97AA" w:rsidR="00BD6BE4" w:rsidRDefault="00BD6BE4" w:rsidP="003B57E3">
      <w:pPr>
        <w:pStyle w:val="Style1"/>
        <w:keepNext/>
        <w:numPr>
          <w:ilvl w:val="0"/>
          <w:numId w:val="22"/>
        </w:numPr>
      </w:pPr>
    </w:p>
    <w:p w14:paraId="7F2B5FAF" w14:textId="77777777" w:rsidR="0021585D" w:rsidRDefault="0021585D" w:rsidP="003B57E3">
      <w:pPr>
        <w:keepNext/>
        <w:tabs>
          <w:tab w:val="left" w:pos="1051"/>
        </w:tabs>
      </w:pPr>
    </w:p>
    <w:p w14:paraId="3E02C95D" w14:textId="7B4E9E72" w:rsidR="0021585D" w:rsidRPr="00697FFA" w:rsidRDefault="0021585D" w:rsidP="003B57E3">
      <w:pPr>
        <w:tabs>
          <w:tab w:val="left" w:pos="1051"/>
        </w:tabs>
      </w:pPr>
      <w:r>
        <w:t>This slide refers to the cas</w:t>
      </w:r>
      <w:r w:rsidR="000D7B23">
        <w:t>e</w:t>
      </w:r>
      <w:r>
        <w:t xml:space="preserve"> of Indonesia.</w:t>
      </w:r>
    </w:p>
    <w:p w14:paraId="3A0A3903" w14:textId="77777777" w:rsidR="00BD6BE4" w:rsidRDefault="00BD6BE4" w:rsidP="003B57E3">
      <w:pPr>
        <w:pStyle w:val="Style1"/>
      </w:pPr>
    </w:p>
    <w:p w14:paraId="15222F12" w14:textId="126F3AA9" w:rsidR="00257B67" w:rsidRPr="00F67E30" w:rsidRDefault="00257B67" w:rsidP="003B57E3">
      <w:pPr>
        <w:pStyle w:val="Style1"/>
        <w:keepNext/>
        <w:numPr>
          <w:ilvl w:val="0"/>
          <w:numId w:val="22"/>
        </w:numPr>
      </w:pPr>
    </w:p>
    <w:p w14:paraId="5B748D05" w14:textId="77777777" w:rsidR="00257B67" w:rsidRDefault="00257B67" w:rsidP="003B57E3">
      <w:pPr>
        <w:pStyle w:val="Style1"/>
        <w:keepNext/>
      </w:pPr>
    </w:p>
    <w:p w14:paraId="2152DD99" w14:textId="534B614B" w:rsidR="00257B67" w:rsidRDefault="00EF4679" w:rsidP="003B57E3">
      <w:pPr>
        <w:tabs>
          <w:tab w:val="left" w:pos="1051"/>
        </w:tabs>
      </w:pPr>
      <w:r>
        <w:t>The case</w:t>
      </w:r>
      <w:r w:rsidR="005D6CCF">
        <w:t xml:space="preserve"> of the East Asian currency crisis</w:t>
      </w:r>
      <w:r>
        <w:t xml:space="preserve"> allows us to see the </w:t>
      </w:r>
      <w:r w:rsidR="00145B59">
        <w:t>weakness</w:t>
      </w:r>
      <w:r>
        <w:t xml:space="preserve"> of </w:t>
      </w:r>
      <w:r w:rsidR="005D6CCF">
        <w:t xml:space="preserve">that era's policy analysis in the face of </w:t>
      </w:r>
      <w:r>
        <w:t>extreme fluidity of financial flows</w:t>
      </w:r>
      <w:r w:rsidR="005D6CCF">
        <w:t xml:space="preserve"> between different currencies.</w:t>
      </w:r>
    </w:p>
    <w:p w14:paraId="7D61E22C" w14:textId="2F2EA24E" w:rsidR="005D6CCF" w:rsidRDefault="005D6CCF" w:rsidP="003B57E3">
      <w:pPr>
        <w:tabs>
          <w:tab w:val="left" w:pos="1051"/>
        </w:tabs>
      </w:pPr>
    </w:p>
    <w:p w14:paraId="2B15489A" w14:textId="24BD8FA5" w:rsidR="005D6CCF" w:rsidRPr="00697FFA" w:rsidRDefault="005D6CCF" w:rsidP="003B57E3">
      <w:pPr>
        <w:tabs>
          <w:tab w:val="left" w:pos="1051"/>
        </w:tabs>
      </w:pPr>
      <w:r>
        <w:t>The following module takes a closer look at the currency issue.</w:t>
      </w:r>
    </w:p>
    <w:p w14:paraId="030BF5D3" w14:textId="77777777" w:rsidR="00257B67" w:rsidRDefault="00257B67" w:rsidP="003B57E3">
      <w:pPr>
        <w:tabs>
          <w:tab w:val="left" w:pos="1051"/>
        </w:tabs>
      </w:pPr>
    </w:p>
    <w:p w14:paraId="2B30E1EA" w14:textId="7CAE6DA2" w:rsidR="00187D7B" w:rsidRDefault="00187D7B" w:rsidP="003B57E3">
      <w:pPr>
        <w:tabs>
          <w:tab w:val="left" w:pos="1051"/>
        </w:tabs>
      </w:pPr>
    </w:p>
    <w:p w14:paraId="4AB0E2AD" w14:textId="6CD2BB16" w:rsidR="00F408EF" w:rsidRPr="00F408EF" w:rsidRDefault="00F408EF" w:rsidP="003B57E3">
      <w:pPr>
        <w:keepNext/>
        <w:tabs>
          <w:tab w:val="left" w:pos="1051"/>
        </w:tabs>
        <w:rPr>
          <w:b/>
          <w:bCs/>
        </w:rPr>
      </w:pPr>
      <w:r w:rsidRPr="00F408EF">
        <w:rPr>
          <w:b/>
          <w:bCs/>
        </w:rPr>
        <w:lastRenderedPageBreak/>
        <w:t>References</w:t>
      </w:r>
    </w:p>
    <w:p w14:paraId="6B6030DA" w14:textId="643F10C2" w:rsidR="00F408EF" w:rsidRPr="00F408EF" w:rsidRDefault="00F408EF" w:rsidP="003B57E3">
      <w:pPr>
        <w:keepNext/>
        <w:tabs>
          <w:tab w:val="left" w:pos="1051"/>
        </w:tabs>
      </w:pPr>
    </w:p>
    <w:p w14:paraId="66A9815B" w14:textId="77777777" w:rsidR="00F408EF" w:rsidRPr="00F408EF" w:rsidRDefault="00F408EF" w:rsidP="003B57E3">
      <w:pPr>
        <w:pStyle w:val="Normal1"/>
        <w:keepNext/>
        <w:spacing w:after="0" w:line="240" w:lineRule="auto"/>
        <w:rPr>
          <w:sz w:val="24"/>
          <w:szCs w:val="24"/>
        </w:rPr>
      </w:pPr>
      <w:r w:rsidRPr="00F408EF">
        <w:rPr>
          <w:sz w:val="24"/>
          <w:szCs w:val="24"/>
        </w:rPr>
        <w:t>"Margin Call."</w:t>
      </w:r>
    </w:p>
    <w:p w14:paraId="4BBD7F02" w14:textId="5D305667" w:rsidR="00F408EF" w:rsidRPr="00F408EF" w:rsidRDefault="00F408EF" w:rsidP="003B57E3">
      <w:pPr>
        <w:pStyle w:val="Normal1"/>
        <w:keepNext/>
        <w:numPr>
          <w:ilvl w:val="0"/>
          <w:numId w:val="19"/>
        </w:numPr>
        <w:spacing w:after="0" w:line="240" w:lineRule="auto"/>
        <w:rPr>
          <w:sz w:val="24"/>
          <w:szCs w:val="24"/>
        </w:rPr>
      </w:pPr>
      <w:r w:rsidRPr="00F408EF">
        <w:rPr>
          <w:sz w:val="24"/>
          <w:szCs w:val="24"/>
        </w:rPr>
        <w:t xml:space="preserve">A risk event has happened: </w:t>
      </w:r>
      <w:hyperlink r:id="rId10" w:history="1">
        <w:r w:rsidRPr="00F408EF">
          <w:rPr>
            <w:rStyle w:val="Hyperlink"/>
            <w:sz w:val="24"/>
            <w:szCs w:val="24"/>
          </w:rPr>
          <w:t>https://www.youtube.com/watch?v=QAWtcYOVbWw</w:t>
        </w:r>
      </w:hyperlink>
      <w:r w:rsidRPr="00F408EF">
        <w:rPr>
          <w:rStyle w:val="Hyperlink"/>
          <w:sz w:val="24"/>
          <w:szCs w:val="24"/>
        </w:rPr>
        <w:t>.</w:t>
      </w:r>
    </w:p>
    <w:p w14:paraId="07D7CC7F" w14:textId="226F9C2A" w:rsidR="00F408EF" w:rsidRDefault="00F408EF" w:rsidP="003B57E3">
      <w:pPr>
        <w:pStyle w:val="Normal1"/>
        <w:numPr>
          <w:ilvl w:val="0"/>
          <w:numId w:val="19"/>
        </w:numPr>
        <w:spacing w:after="0" w:line="240" w:lineRule="auto"/>
        <w:rPr>
          <w:sz w:val="24"/>
          <w:szCs w:val="24"/>
        </w:rPr>
      </w:pPr>
      <w:r w:rsidRPr="00F408EF">
        <w:rPr>
          <w:sz w:val="24"/>
          <w:szCs w:val="24"/>
        </w:rPr>
        <w:t xml:space="preserve">"I don't think that would be a good idea."  </w:t>
      </w:r>
      <w:hyperlink r:id="rId11" w:history="1">
        <w:r w:rsidRPr="00F408EF">
          <w:rPr>
            <w:rStyle w:val="Hyperlink"/>
            <w:sz w:val="24"/>
            <w:szCs w:val="24"/>
          </w:rPr>
          <w:t>https://www.youtube.com/watch?v=W7Jqwpnw9Lo</w:t>
        </w:r>
      </w:hyperlink>
      <w:r w:rsidRPr="00F408EF">
        <w:rPr>
          <w:sz w:val="24"/>
          <w:szCs w:val="24"/>
        </w:rPr>
        <w:t>.</w:t>
      </w:r>
    </w:p>
    <w:p w14:paraId="2EC6BC91" w14:textId="74241A67" w:rsidR="00F408EF" w:rsidRPr="00F408EF" w:rsidRDefault="00F408EF" w:rsidP="003B57E3">
      <w:pPr>
        <w:pStyle w:val="Normal1"/>
        <w:keepNext/>
        <w:numPr>
          <w:ilvl w:val="1"/>
          <w:numId w:val="19"/>
        </w:numPr>
        <w:spacing w:after="0" w:line="240" w:lineRule="auto"/>
        <w:rPr>
          <w:sz w:val="24"/>
          <w:szCs w:val="24"/>
        </w:rPr>
      </w:pPr>
      <w:r>
        <w:rPr>
          <w:sz w:val="24"/>
          <w:szCs w:val="24"/>
        </w:rPr>
        <w:t>Law requires the firm to preserve email messages, which the SEC might study to see if the firm met its responsibilities to its clients, based on the firm's knowledge of the state of its portfolio.</w:t>
      </w:r>
    </w:p>
    <w:p w14:paraId="6722F516" w14:textId="535AF028" w:rsidR="00F408EF" w:rsidRPr="00F408EF" w:rsidRDefault="00F408EF" w:rsidP="00F408EF">
      <w:pPr>
        <w:tabs>
          <w:tab w:val="left" w:pos="1051"/>
        </w:tabs>
      </w:pPr>
    </w:p>
    <w:p w14:paraId="6272BC2A" w14:textId="77777777" w:rsidR="00F408EF" w:rsidRPr="00F408EF" w:rsidRDefault="00F408EF" w:rsidP="00454763">
      <w:pPr>
        <w:tabs>
          <w:tab w:val="left" w:pos="1051"/>
        </w:tabs>
      </w:pPr>
    </w:p>
    <w:sectPr w:rsidR="00F408EF" w:rsidRPr="00F408EF" w:rsidSect="0070660B">
      <w:footerReference w:type="even" r:id="rId12"/>
      <w:footerReference w:type="default" r:id="rId13"/>
      <w:pgSz w:w="12240" w:h="15840"/>
      <w:pgMar w:top="1440" w:right="1440" w:bottom="1440" w:left="1440" w:header="720" w:footer="720" w:gutter="0"/>
      <w:cols w:space="720"/>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AC916C" w14:textId="77777777" w:rsidR="003F3937" w:rsidRDefault="003F3937" w:rsidP="00855F5F">
      <w:r>
        <w:separator/>
      </w:r>
    </w:p>
  </w:endnote>
  <w:endnote w:type="continuationSeparator" w:id="0">
    <w:p w14:paraId="6BDEAFAF" w14:textId="77777777" w:rsidR="003F3937" w:rsidRDefault="003F3937" w:rsidP="00855F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OpenSymbol">
    <w:altName w:val="Arial Unicode MS"/>
    <w:panose1 w:val="020B0604020202020204"/>
    <w:charset w:val="80"/>
    <w:family w:val="auto"/>
    <w:pitch w:val="default"/>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65525852"/>
      <w:docPartObj>
        <w:docPartGallery w:val="Page Numbers (Bottom of Page)"/>
        <w:docPartUnique/>
      </w:docPartObj>
    </w:sdtPr>
    <w:sdtContent>
      <w:p w14:paraId="60E8FD43" w14:textId="38A8C4B5" w:rsidR="00855F5F" w:rsidRDefault="00855F5F" w:rsidP="00D62FA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6F99E9F" w14:textId="77777777" w:rsidR="00855F5F" w:rsidRDefault="00855F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61200800"/>
      <w:docPartObj>
        <w:docPartGallery w:val="Page Numbers (Bottom of Page)"/>
        <w:docPartUnique/>
      </w:docPartObj>
    </w:sdtPr>
    <w:sdtContent>
      <w:p w14:paraId="3366F306" w14:textId="3FC2D8BB" w:rsidR="00855F5F" w:rsidRDefault="00855F5F" w:rsidP="00D62FA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99D881C" w14:textId="77777777" w:rsidR="00855F5F" w:rsidRDefault="00855F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6E2606" w14:textId="77777777" w:rsidR="003F3937" w:rsidRDefault="003F3937" w:rsidP="00855F5F">
      <w:r>
        <w:separator/>
      </w:r>
    </w:p>
  </w:footnote>
  <w:footnote w:type="continuationSeparator" w:id="0">
    <w:p w14:paraId="5066785B" w14:textId="77777777" w:rsidR="003F3937" w:rsidRDefault="003F3937" w:rsidP="00855F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4D2F3E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FB3EE5"/>
    <w:multiLevelType w:val="multilevel"/>
    <w:tmpl w:val="DCA68D00"/>
    <w:numStyleLink w:val="Joe"/>
  </w:abstractNum>
  <w:abstractNum w:abstractNumId="2" w15:restartNumberingAfterBreak="0">
    <w:nsid w:val="04573122"/>
    <w:multiLevelType w:val="multilevel"/>
    <w:tmpl w:val="DCA68D00"/>
    <w:lvl w:ilvl="0">
      <w:start w:val="1"/>
      <w:numFmt w:val="bullet"/>
      <w:lvlText w:val=""/>
      <w:lvlJc w:val="left"/>
      <w:pPr>
        <w:ind w:left="360" w:hanging="360"/>
      </w:pPr>
      <w:rPr>
        <w:rFonts w:ascii="Symbol" w:hAnsi="Symbol" w:hint="default"/>
        <w:sz w:val="24"/>
      </w:rPr>
    </w:lvl>
    <w:lvl w:ilvl="1">
      <w:start w:val="1"/>
      <w:numFmt w:val="bullet"/>
      <w:lvlText w:val="o"/>
      <w:lvlJc w:val="left"/>
      <w:pPr>
        <w:ind w:left="792" w:hanging="360"/>
      </w:pPr>
      <w:rPr>
        <w:rFonts w:ascii="Times New Roman" w:hAnsi="Times New Roman"/>
        <w:sz w:val="24"/>
        <w:szCs w:val="24"/>
      </w:rPr>
    </w:lvl>
    <w:lvl w:ilvl="2">
      <w:start w:val="1"/>
      <w:numFmt w:val="bullet"/>
      <w:lvlText w:val=""/>
      <w:lvlJc w:val="left"/>
      <w:pPr>
        <w:ind w:left="1224" w:hanging="360"/>
      </w:pPr>
      <w:rPr>
        <w:rFonts w:ascii="Wingdings" w:hAnsi="Wingdings" w:hint="default"/>
        <w:sz w:val="24"/>
      </w:rPr>
    </w:lvl>
    <w:lvl w:ilvl="3">
      <w:start w:val="1"/>
      <w:numFmt w:val="bullet"/>
      <w:lvlText w:val=""/>
      <w:lvlJc w:val="left"/>
      <w:pPr>
        <w:ind w:left="1656" w:hanging="360"/>
      </w:pPr>
      <w:rPr>
        <w:rFonts w:ascii="Times New Roman" w:hAnsi="Times New Roman" w:hint="default"/>
        <w:sz w:val="24"/>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05CF184C"/>
    <w:multiLevelType w:val="hybridMultilevel"/>
    <w:tmpl w:val="C7F6B6A8"/>
    <w:lvl w:ilvl="0" w:tplc="EB18A630">
      <w:start w:val="1"/>
      <w:numFmt w:val="bullet"/>
      <w:lvlText w:val="•"/>
      <w:lvlJc w:val="left"/>
      <w:pPr>
        <w:tabs>
          <w:tab w:val="num" w:pos="720"/>
        </w:tabs>
        <w:ind w:left="720" w:hanging="360"/>
      </w:pPr>
      <w:rPr>
        <w:rFonts w:ascii="Arial" w:hAnsi="Arial" w:hint="default"/>
      </w:rPr>
    </w:lvl>
    <w:lvl w:ilvl="1" w:tplc="ED961B82" w:tentative="1">
      <w:start w:val="1"/>
      <w:numFmt w:val="bullet"/>
      <w:lvlText w:val="•"/>
      <w:lvlJc w:val="left"/>
      <w:pPr>
        <w:tabs>
          <w:tab w:val="num" w:pos="1440"/>
        </w:tabs>
        <w:ind w:left="1440" w:hanging="360"/>
      </w:pPr>
      <w:rPr>
        <w:rFonts w:ascii="Arial" w:hAnsi="Arial" w:hint="default"/>
      </w:rPr>
    </w:lvl>
    <w:lvl w:ilvl="2" w:tplc="A5205A44" w:tentative="1">
      <w:start w:val="1"/>
      <w:numFmt w:val="bullet"/>
      <w:lvlText w:val="•"/>
      <w:lvlJc w:val="left"/>
      <w:pPr>
        <w:tabs>
          <w:tab w:val="num" w:pos="2160"/>
        </w:tabs>
        <w:ind w:left="2160" w:hanging="360"/>
      </w:pPr>
      <w:rPr>
        <w:rFonts w:ascii="Arial" w:hAnsi="Arial" w:hint="default"/>
      </w:rPr>
    </w:lvl>
    <w:lvl w:ilvl="3" w:tplc="800A7312" w:tentative="1">
      <w:start w:val="1"/>
      <w:numFmt w:val="bullet"/>
      <w:lvlText w:val="•"/>
      <w:lvlJc w:val="left"/>
      <w:pPr>
        <w:tabs>
          <w:tab w:val="num" w:pos="2880"/>
        </w:tabs>
        <w:ind w:left="2880" w:hanging="360"/>
      </w:pPr>
      <w:rPr>
        <w:rFonts w:ascii="Arial" w:hAnsi="Arial" w:hint="default"/>
      </w:rPr>
    </w:lvl>
    <w:lvl w:ilvl="4" w:tplc="0A3C0894" w:tentative="1">
      <w:start w:val="1"/>
      <w:numFmt w:val="bullet"/>
      <w:lvlText w:val="•"/>
      <w:lvlJc w:val="left"/>
      <w:pPr>
        <w:tabs>
          <w:tab w:val="num" w:pos="3600"/>
        </w:tabs>
        <w:ind w:left="3600" w:hanging="360"/>
      </w:pPr>
      <w:rPr>
        <w:rFonts w:ascii="Arial" w:hAnsi="Arial" w:hint="default"/>
      </w:rPr>
    </w:lvl>
    <w:lvl w:ilvl="5" w:tplc="8B9EC416" w:tentative="1">
      <w:start w:val="1"/>
      <w:numFmt w:val="bullet"/>
      <w:lvlText w:val="•"/>
      <w:lvlJc w:val="left"/>
      <w:pPr>
        <w:tabs>
          <w:tab w:val="num" w:pos="4320"/>
        </w:tabs>
        <w:ind w:left="4320" w:hanging="360"/>
      </w:pPr>
      <w:rPr>
        <w:rFonts w:ascii="Arial" w:hAnsi="Arial" w:hint="default"/>
      </w:rPr>
    </w:lvl>
    <w:lvl w:ilvl="6" w:tplc="0652E962" w:tentative="1">
      <w:start w:val="1"/>
      <w:numFmt w:val="bullet"/>
      <w:lvlText w:val="•"/>
      <w:lvlJc w:val="left"/>
      <w:pPr>
        <w:tabs>
          <w:tab w:val="num" w:pos="5040"/>
        </w:tabs>
        <w:ind w:left="5040" w:hanging="360"/>
      </w:pPr>
      <w:rPr>
        <w:rFonts w:ascii="Arial" w:hAnsi="Arial" w:hint="default"/>
      </w:rPr>
    </w:lvl>
    <w:lvl w:ilvl="7" w:tplc="FFF634B8" w:tentative="1">
      <w:start w:val="1"/>
      <w:numFmt w:val="bullet"/>
      <w:lvlText w:val="•"/>
      <w:lvlJc w:val="left"/>
      <w:pPr>
        <w:tabs>
          <w:tab w:val="num" w:pos="5760"/>
        </w:tabs>
        <w:ind w:left="5760" w:hanging="360"/>
      </w:pPr>
      <w:rPr>
        <w:rFonts w:ascii="Arial" w:hAnsi="Arial" w:hint="default"/>
      </w:rPr>
    </w:lvl>
    <w:lvl w:ilvl="8" w:tplc="DEBA016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40C5341"/>
    <w:multiLevelType w:val="hybridMultilevel"/>
    <w:tmpl w:val="37DAF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70428D"/>
    <w:multiLevelType w:val="multilevel"/>
    <w:tmpl w:val="DCA68D00"/>
    <w:numStyleLink w:val="Joe"/>
  </w:abstractNum>
  <w:abstractNum w:abstractNumId="6" w15:restartNumberingAfterBreak="0">
    <w:nsid w:val="1AD21448"/>
    <w:multiLevelType w:val="hybridMultilevel"/>
    <w:tmpl w:val="7BB68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444F17"/>
    <w:multiLevelType w:val="hybridMultilevel"/>
    <w:tmpl w:val="C4B04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0B4283"/>
    <w:multiLevelType w:val="multilevel"/>
    <w:tmpl w:val="DCA68D00"/>
    <w:numStyleLink w:val="Joe"/>
  </w:abstractNum>
  <w:abstractNum w:abstractNumId="9" w15:restartNumberingAfterBreak="0">
    <w:nsid w:val="34431D31"/>
    <w:multiLevelType w:val="hybridMultilevel"/>
    <w:tmpl w:val="48821A86"/>
    <w:lvl w:ilvl="0" w:tplc="06A66F96">
      <w:start w:val="1"/>
      <w:numFmt w:val="decimal"/>
      <w:lvlText w:val="[Slide %1]"/>
      <w:lvlJc w:val="left"/>
      <w:pPr>
        <w:ind w:left="720" w:hanging="72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C36C0C"/>
    <w:multiLevelType w:val="hybridMultilevel"/>
    <w:tmpl w:val="95A0C524"/>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BB37F5F"/>
    <w:multiLevelType w:val="multilevel"/>
    <w:tmpl w:val="DCA68D00"/>
    <w:lvl w:ilvl="0">
      <w:start w:val="1"/>
      <w:numFmt w:val="bullet"/>
      <w:lvlText w:val=""/>
      <w:lvlJc w:val="left"/>
      <w:pPr>
        <w:ind w:left="360" w:hanging="360"/>
      </w:pPr>
      <w:rPr>
        <w:rFonts w:ascii="Symbol" w:hAnsi="Symbol" w:hint="default"/>
        <w:sz w:val="24"/>
      </w:rPr>
    </w:lvl>
    <w:lvl w:ilvl="1">
      <w:start w:val="1"/>
      <w:numFmt w:val="bullet"/>
      <w:lvlText w:val="o"/>
      <w:lvlJc w:val="left"/>
      <w:pPr>
        <w:ind w:left="792" w:hanging="360"/>
      </w:pPr>
      <w:rPr>
        <w:rFonts w:ascii="Times New Roman" w:hAnsi="Times New Roman"/>
        <w:sz w:val="24"/>
        <w:szCs w:val="24"/>
      </w:rPr>
    </w:lvl>
    <w:lvl w:ilvl="2">
      <w:start w:val="1"/>
      <w:numFmt w:val="bullet"/>
      <w:lvlText w:val=""/>
      <w:lvlJc w:val="left"/>
      <w:pPr>
        <w:ind w:left="1224" w:hanging="360"/>
      </w:pPr>
      <w:rPr>
        <w:rFonts w:ascii="Wingdings" w:hAnsi="Wingdings" w:hint="default"/>
        <w:sz w:val="24"/>
      </w:rPr>
    </w:lvl>
    <w:lvl w:ilvl="3">
      <w:start w:val="1"/>
      <w:numFmt w:val="bullet"/>
      <w:lvlText w:val=""/>
      <w:lvlJc w:val="left"/>
      <w:pPr>
        <w:ind w:left="1656" w:hanging="360"/>
      </w:pPr>
      <w:rPr>
        <w:rFonts w:ascii="Times New Roman" w:hAnsi="Times New Roman" w:hint="default"/>
        <w:sz w:val="24"/>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2" w15:restartNumberingAfterBreak="0">
    <w:nsid w:val="3DFC1EB2"/>
    <w:multiLevelType w:val="hybridMultilevel"/>
    <w:tmpl w:val="AEAA4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B71F27"/>
    <w:multiLevelType w:val="hybridMultilevel"/>
    <w:tmpl w:val="A052F4C6"/>
    <w:lvl w:ilvl="0" w:tplc="06A66F96">
      <w:start w:val="1"/>
      <w:numFmt w:val="decimal"/>
      <w:lvlText w:val="[Slide %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76375DC"/>
    <w:multiLevelType w:val="hybridMultilevel"/>
    <w:tmpl w:val="7C7C0ABC"/>
    <w:lvl w:ilvl="0" w:tplc="04090001">
      <w:start w:val="1"/>
      <w:numFmt w:val="bullet"/>
      <w:lvlText w:val=""/>
      <w:lvlJc w:val="left"/>
      <w:pPr>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499474B6"/>
    <w:multiLevelType w:val="multilevel"/>
    <w:tmpl w:val="DCA68D00"/>
    <w:lvl w:ilvl="0">
      <w:start w:val="1"/>
      <w:numFmt w:val="bullet"/>
      <w:lvlText w:val=""/>
      <w:lvlJc w:val="left"/>
      <w:pPr>
        <w:ind w:left="360" w:hanging="360"/>
      </w:pPr>
      <w:rPr>
        <w:rFonts w:ascii="Symbol" w:hAnsi="Symbol" w:hint="default"/>
        <w:sz w:val="24"/>
      </w:rPr>
    </w:lvl>
    <w:lvl w:ilvl="1">
      <w:start w:val="1"/>
      <w:numFmt w:val="bullet"/>
      <w:lvlText w:val="o"/>
      <w:lvlJc w:val="left"/>
      <w:pPr>
        <w:ind w:left="792" w:hanging="360"/>
      </w:pPr>
      <w:rPr>
        <w:rFonts w:ascii="Times New Roman" w:hAnsi="Times New Roman"/>
        <w:sz w:val="24"/>
        <w:szCs w:val="24"/>
      </w:rPr>
    </w:lvl>
    <w:lvl w:ilvl="2">
      <w:start w:val="1"/>
      <w:numFmt w:val="bullet"/>
      <w:lvlText w:val=""/>
      <w:lvlJc w:val="left"/>
      <w:pPr>
        <w:ind w:left="1224" w:hanging="360"/>
      </w:pPr>
      <w:rPr>
        <w:rFonts w:ascii="Wingdings" w:hAnsi="Wingdings" w:hint="default"/>
        <w:sz w:val="24"/>
      </w:rPr>
    </w:lvl>
    <w:lvl w:ilvl="3">
      <w:start w:val="1"/>
      <w:numFmt w:val="bullet"/>
      <w:lvlText w:val=""/>
      <w:lvlJc w:val="left"/>
      <w:pPr>
        <w:ind w:left="1656" w:hanging="360"/>
      </w:pPr>
      <w:rPr>
        <w:rFonts w:ascii="Times New Roman" w:hAnsi="Times New Roman" w:hint="default"/>
        <w:sz w:val="24"/>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6" w15:restartNumberingAfterBreak="0">
    <w:nsid w:val="4A0847ED"/>
    <w:multiLevelType w:val="multilevel"/>
    <w:tmpl w:val="DCA68D00"/>
    <w:numStyleLink w:val="Joe"/>
  </w:abstractNum>
  <w:abstractNum w:abstractNumId="17" w15:restartNumberingAfterBreak="0">
    <w:nsid w:val="613D3D17"/>
    <w:multiLevelType w:val="hybridMultilevel"/>
    <w:tmpl w:val="CC9E4E3E"/>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95B25FB"/>
    <w:multiLevelType w:val="multilevel"/>
    <w:tmpl w:val="DCA68D00"/>
    <w:lvl w:ilvl="0">
      <w:start w:val="1"/>
      <w:numFmt w:val="bullet"/>
      <w:lvlText w:val=""/>
      <w:lvlJc w:val="left"/>
      <w:pPr>
        <w:ind w:left="360" w:hanging="360"/>
      </w:pPr>
      <w:rPr>
        <w:rFonts w:ascii="Symbol" w:hAnsi="Symbol" w:hint="default"/>
        <w:sz w:val="24"/>
      </w:rPr>
    </w:lvl>
    <w:lvl w:ilvl="1">
      <w:start w:val="1"/>
      <w:numFmt w:val="bullet"/>
      <w:lvlText w:val="o"/>
      <w:lvlJc w:val="left"/>
      <w:pPr>
        <w:ind w:left="792" w:hanging="360"/>
      </w:pPr>
      <w:rPr>
        <w:rFonts w:ascii="Times New Roman" w:hAnsi="Times New Roman"/>
        <w:sz w:val="24"/>
        <w:szCs w:val="24"/>
      </w:rPr>
    </w:lvl>
    <w:lvl w:ilvl="2">
      <w:start w:val="1"/>
      <w:numFmt w:val="bullet"/>
      <w:lvlText w:val=""/>
      <w:lvlJc w:val="left"/>
      <w:pPr>
        <w:ind w:left="1224" w:hanging="360"/>
      </w:pPr>
      <w:rPr>
        <w:rFonts w:ascii="Wingdings" w:hAnsi="Wingdings" w:hint="default"/>
        <w:sz w:val="24"/>
      </w:rPr>
    </w:lvl>
    <w:lvl w:ilvl="3">
      <w:start w:val="1"/>
      <w:numFmt w:val="bullet"/>
      <w:lvlText w:val=""/>
      <w:lvlJc w:val="left"/>
      <w:pPr>
        <w:ind w:left="1656" w:hanging="360"/>
      </w:pPr>
      <w:rPr>
        <w:rFonts w:ascii="Times New Roman" w:hAnsi="Times New Roman" w:hint="default"/>
        <w:sz w:val="24"/>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9" w15:restartNumberingAfterBreak="0">
    <w:nsid w:val="70646F3D"/>
    <w:multiLevelType w:val="hybridMultilevel"/>
    <w:tmpl w:val="79DC53BC"/>
    <w:lvl w:ilvl="0" w:tplc="B240CCBC">
      <w:start w:val="1"/>
      <w:numFmt w:val="bullet"/>
      <w:lvlText w:val="•"/>
      <w:lvlJc w:val="left"/>
      <w:pPr>
        <w:tabs>
          <w:tab w:val="num" w:pos="720"/>
        </w:tabs>
        <w:ind w:left="720" w:hanging="360"/>
      </w:pPr>
      <w:rPr>
        <w:rFonts w:ascii="Arial" w:hAnsi="Arial" w:hint="default"/>
      </w:rPr>
    </w:lvl>
    <w:lvl w:ilvl="1" w:tplc="D1D43B36" w:tentative="1">
      <w:start w:val="1"/>
      <w:numFmt w:val="bullet"/>
      <w:lvlText w:val="•"/>
      <w:lvlJc w:val="left"/>
      <w:pPr>
        <w:tabs>
          <w:tab w:val="num" w:pos="1440"/>
        </w:tabs>
        <w:ind w:left="1440" w:hanging="360"/>
      </w:pPr>
      <w:rPr>
        <w:rFonts w:ascii="Arial" w:hAnsi="Arial" w:hint="default"/>
      </w:rPr>
    </w:lvl>
    <w:lvl w:ilvl="2" w:tplc="19E6DC02" w:tentative="1">
      <w:start w:val="1"/>
      <w:numFmt w:val="bullet"/>
      <w:lvlText w:val="•"/>
      <w:lvlJc w:val="left"/>
      <w:pPr>
        <w:tabs>
          <w:tab w:val="num" w:pos="2160"/>
        </w:tabs>
        <w:ind w:left="2160" w:hanging="360"/>
      </w:pPr>
      <w:rPr>
        <w:rFonts w:ascii="Arial" w:hAnsi="Arial" w:hint="default"/>
      </w:rPr>
    </w:lvl>
    <w:lvl w:ilvl="3" w:tplc="CC86ABD8" w:tentative="1">
      <w:start w:val="1"/>
      <w:numFmt w:val="bullet"/>
      <w:lvlText w:val="•"/>
      <w:lvlJc w:val="left"/>
      <w:pPr>
        <w:tabs>
          <w:tab w:val="num" w:pos="2880"/>
        </w:tabs>
        <w:ind w:left="2880" w:hanging="360"/>
      </w:pPr>
      <w:rPr>
        <w:rFonts w:ascii="Arial" w:hAnsi="Arial" w:hint="default"/>
      </w:rPr>
    </w:lvl>
    <w:lvl w:ilvl="4" w:tplc="05D662C4" w:tentative="1">
      <w:start w:val="1"/>
      <w:numFmt w:val="bullet"/>
      <w:lvlText w:val="•"/>
      <w:lvlJc w:val="left"/>
      <w:pPr>
        <w:tabs>
          <w:tab w:val="num" w:pos="3600"/>
        </w:tabs>
        <w:ind w:left="3600" w:hanging="360"/>
      </w:pPr>
      <w:rPr>
        <w:rFonts w:ascii="Arial" w:hAnsi="Arial" w:hint="default"/>
      </w:rPr>
    </w:lvl>
    <w:lvl w:ilvl="5" w:tplc="7012C1EC" w:tentative="1">
      <w:start w:val="1"/>
      <w:numFmt w:val="bullet"/>
      <w:lvlText w:val="•"/>
      <w:lvlJc w:val="left"/>
      <w:pPr>
        <w:tabs>
          <w:tab w:val="num" w:pos="4320"/>
        </w:tabs>
        <w:ind w:left="4320" w:hanging="360"/>
      </w:pPr>
      <w:rPr>
        <w:rFonts w:ascii="Arial" w:hAnsi="Arial" w:hint="default"/>
      </w:rPr>
    </w:lvl>
    <w:lvl w:ilvl="6" w:tplc="2F4018BA" w:tentative="1">
      <w:start w:val="1"/>
      <w:numFmt w:val="bullet"/>
      <w:lvlText w:val="•"/>
      <w:lvlJc w:val="left"/>
      <w:pPr>
        <w:tabs>
          <w:tab w:val="num" w:pos="5040"/>
        </w:tabs>
        <w:ind w:left="5040" w:hanging="360"/>
      </w:pPr>
      <w:rPr>
        <w:rFonts w:ascii="Arial" w:hAnsi="Arial" w:hint="default"/>
      </w:rPr>
    </w:lvl>
    <w:lvl w:ilvl="7" w:tplc="E1F4E394" w:tentative="1">
      <w:start w:val="1"/>
      <w:numFmt w:val="bullet"/>
      <w:lvlText w:val="•"/>
      <w:lvlJc w:val="left"/>
      <w:pPr>
        <w:tabs>
          <w:tab w:val="num" w:pos="5760"/>
        </w:tabs>
        <w:ind w:left="5760" w:hanging="360"/>
      </w:pPr>
      <w:rPr>
        <w:rFonts w:ascii="Arial" w:hAnsi="Arial" w:hint="default"/>
      </w:rPr>
    </w:lvl>
    <w:lvl w:ilvl="8" w:tplc="62E41928"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71D2629B"/>
    <w:multiLevelType w:val="hybridMultilevel"/>
    <w:tmpl w:val="40E856C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2CA6F7E"/>
    <w:multiLevelType w:val="multilevel"/>
    <w:tmpl w:val="DCA68D00"/>
    <w:numStyleLink w:val="Joe"/>
  </w:abstractNum>
  <w:abstractNum w:abstractNumId="22" w15:restartNumberingAfterBreak="0">
    <w:nsid w:val="73361D39"/>
    <w:multiLevelType w:val="multilevel"/>
    <w:tmpl w:val="DCA68D00"/>
    <w:lvl w:ilvl="0">
      <w:start w:val="1"/>
      <w:numFmt w:val="bullet"/>
      <w:lvlText w:val=""/>
      <w:lvlJc w:val="left"/>
      <w:pPr>
        <w:ind w:left="360" w:hanging="360"/>
      </w:pPr>
      <w:rPr>
        <w:rFonts w:ascii="Symbol" w:hAnsi="Symbol" w:hint="default"/>
        <w:sz w:val="24"/>
      </w:rPr>
    </w:lvl>
    <w:lvl w:ilvl="1">
      <w:start w:val="1"/>
      <w:numFmt w:val="bullet"/>
      <w:lvlText w:val="o"/>
      <w:lvlJc w:val="left"/>
      <w:pPr>
        <w:ind w:left="792" w:hanging="360"/>
      </w:pPr>
      <w:rPr>
        <w:rFonts w:ascii="Times New Roman" w:hAnsi="Times New Roman"/>
        <w:sz w:val="24"/>
        <w:szCs w:val="24"/>
      </w:rPr>
    </w:lvl>
    <w:lvl w:ilvl="2">
      <w:start w:val="1"/>
      <w:numFmt w:val="bullet"/>
      <w:lvlText w:val=""/>
      <w:lvlJc w:val="left"/>
      <w:pPr>
        <w:ind w:left="1224" w:hanging="360"/>
      </w:pPr>
      <w:rPr>
        <w:rFonts w:ascii="Wingdings" w:hAnsi="Wingdings" w:hint="default"/>
        <w:sz w:val="24"/>
      </w:rPr>
    </w:lvl>
    <w:lvl w:ilvl="3">
      <w:start w:val="1"/>
      <w:numFmt w:val="bullet"/>
      <w:lvlText w:val=""/>
      <w:lvlJc w:val="left"/>
      <w:pPr>
        <w:ind w:left="1656" w:hanging="360"/>
      </w:pPr>
      <w:rPr>
        <w:rFonts w:ascii="Times New Roman" w:hAnsi="Times New Roman" w:hint="default"/>
        <w:sz w:val="24"/>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23" w15:restartNumberingAfterBreak="0">
    <w:nsid w:val="74C2175A"/>
    <w:multiLevelType w:val="multilevel"/>
    <w:tmpl w:val="DCA68D00"/>
    <w:lvl w:ilvl="0">
      <w:start w:val="1"/>
      <w:numFmt w:val="bullet"/>
      <w:lvlText w:val=""/>
      <w:lvlJc w:val="left"/>
      <w:pPr>
        <w:ind w:left="360" w:hanging="360"/>
      </w:pPr>
      <w:rPr>
        <w:rFonts w:ascii="Symbol" w:hAnsi="Symbol" w:hint="default"/>
        <w:sz w:val="24"/>
      </w:rPr>
    </w:lvl>
    <w:lvl w:ilvl="1">
      <w:start w:val="1"/>
      <w:numFmt w:val="bullet"/>
      <w:lvlText w:val="o"/>
      <w:lvlJc w:val="left"/>
      <w:pPr>
        <w:ind w:left="792" w:hanging="360"/>
      </w:pPr>
      <w:rPr>
        <w:rFonts w:ascii="Times New Roman" w:hAnsi="Times New Roman"/>
        <w:sz w:val="24"/>
        <w:szCs w:val="24"/>
      </w:rPr>
    </w:lvl>
    <w:lvl w:ilvl="2">
      <w:start w:val="1"/>
      <w:numFmt w:val="bullet"/>
      <w:lvlText w:val=""/>
      <w:lvlJc w:val="left"/>
      <w:pPr>
        <w:ind w:left="1224" w:hanging="360"/>
      </w:pPr>
      <w:rPr>
        <w:rFonts w:ascii="Wingdings" w:hAnsi="Wingdings" w:hint="default"/>
        <w:sz w:val="24"/>
      </w:rPr>
    </w:lvl>
    <w:lvl w:ilvl="3">
      <w:start w:val="1"/>
      <w:numFmt w:val="bullet"/>
      <w:lvlText w:val=""/>
      <w:lvlJc w:val="left"/>
      <w:pPr>
        <w:ind w:left="1656" w:hanging="360"/>
      </w:pPr>
      <w:rPr>
        <w:rFonts w:ascii="Times New Roman" w:hAnsi="Times New Roman" w:hint="default"/>
        <w:sz w:val="24"/>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24" w15:restartNumberingAfterBreak="0">
    <w:nsid w:val="79FC05C6"/>
    <w:multiLevelType w:val="multilevel"/>
    <w:tmpl w:val="DCA68D00"/>
    <w:styleLink w:val="Joe"/>
    <w:lvl w:ilvl="0">
      <w:start w:val="1"/>
      <w:numFmt w:val="bullet"/>
      <w:lvlText w:val=""/>
      <w:lvlJc w:val="left"/>
      <w:pPr>
        <w:ind w:left="360" w:hanging="360"/>
      </w:pPr>
      <w:rPr>
        <w:rFonts w:ascii="Symbol" w:hAnsi="Symbol" w:hint="default"/>
        <w:sz w:val="24"/>
      </w:rPr>
    </w:lvl>
    <w:lvl w:ilvl="1">
      <w:start w:val="1"/>
      <w:numFmt w:val="bullet"/>
      <w:lvlText w:val="o"/>
      <w:lvlJc w:val="left"/>
      <w:pPr>
        <w:ind w:left="792" w:hanging="360"/>
      </w:pPr>
      <w:rPr>
        <w:rFonts w:ascii="Times New Roman" w:hAnsi="Times New Roman"/>
        <w:sz w:val="24"/>
        <w:szCs w:val="24"/>
      </w:rPr>
    </w:lvl>
    <w:lvl w:ilvl="2">
      <w:start w:val="1"/>
      <w:numFmt w:val="bullet"/>
      <w:lvlText w:val=""/>
      <w:lvlJc w:val="left"/>
      <w:pPr>
        <w:ind w:left="1224" w:hanging="360"/>
      </w:pPr>
      <w:rPr>
        <w:rFonts w:ascii="Wingdings" w:hAnsi="Wingdings" w:hint="default"/>
        <w:sz w:val="24"/>
      </w:rPr>
    </w:lvl>
    <w:lvl w:ilvl="3">
      <w:start w:val="1"/>
      <w:numFmt w:val="bullet"/>
      <w:lvlText w:val=""/>
      <w:lvlJc w:val="left"/>
      <w:pPr>
        <w:ind w:left="1656" w:hanging="360"/>
      </w:pPr>
      <w:rPr>
        <w:rFonts w:ascii="Times New Roman" w:hAnsi="Times New Roman" w:hint="default"/>
        <w:sz w:val="24"/>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25" w15:restartNumberingAfterBreak="0">
    <w:nsid w:val="7DAC11BE"/>
    <w:multiLevelType w:val="multilevel"/>
    <w:tmpl w:val="DCA68D00"/>
    <w:numStyleLink w:val="Joe"/>
  </w:abstractNum>
  <w:abstractNum w:abstractNumId="26" w15:restartNumberingAfterBreak="0">
    <w:nsid w:val="7DEA5CA9"/>
    <w:multiLevelType w:val="multilevel"/>
    <w:tmpl w:val="DCA68D00"/>
    <w:numStyleLink w:val="Joe"/>
  </w:abstractNum>
  <w:num w:numId="1" w16cid:durableId="1769039672">
    <w:abstractNumId w:val="24"/>
  </w:num>
  <w:num w:numId="2" w16cid:durableId="128405361">
    <w:abstractNumId w:val="0"/>
  </w:num>
  <w:num w:numId="3" w16cid:durableId="508450818">
    <w:abstractNumId w:val="25"/>
  </w:num>
  <w:num w:numId="4" w16cid:durableId="804353343">
    <w:abstractNumId w:val="22"/>
  </w:num>
  <w:num w:numId="5" w16cid:durableId="2038040887">
    <w:abstractNumId w:val="11"/>
  </w:num>
  <w:num w:numId="6" w16cid:durableId="2064061328">
    <w:abstractNumId w:val="20"/>
  </w:num>
  <w:num w:numId="7" w16cid:durableId="808665135">
    <w:abstractNumId w:val="7"/>
  </w:num>
  <w:num w:numId="8" w16cid:durableId="128088210">
    <w:abstractNumId w:val="8"/>
  </w:num>
  <w:num w:numId="9" w16cid:durableId="1024017742">
    <w:abstractNumId w:val="18"/>
  </w:num>
  <w:num w:numId="10" w16cid:durableId="390613933">
    <w:abstractNumId w:val="3"/>
  </w:num>
  <w:num w:numId="11" w16cid:durableId="481770767">
    <w:abstractNumId w:val="19"/>
  </w:num>
  <w:num w:numId="12" w16cid:durableId="1287470681">
    <w:abstractNumId w:val="12"/>
  </w:num>
  <w:num w:numId="13" w16cid:durableId="2001501127">
    <w:abstractNumId w:val="5"/>
  </w:num>
  <w:num w:numId="14" w16cid:durableId="907181702">
    <w:abstractNumId w:val="4"/>
  </w:num>
  <w:num w:numId="15" w16cid:durableId="1152259074">
    <w:abstractNumId w:val="1"/>
  </w:num>
  <w:num w:numId="16" w16cid:durableId="1925607829">
    <w:abstractNumId w:val="17"/>
  </w:num>
  <w:num w:numId="17" w16cid:durableId="2028746239">
    <w:abstractNumId w:val="15"/>
  </w:num>
  <w:num w:numId="18" w16cid:durableId="50034277">
    <w:abstractNumId w:val="14"/>
  </w:num>
  <w:num w:numId="19" w16cid:durableId="2519175">
    <w:abstractNumId w:val="16"/>
  </w:num>
  <w:num w:numId="20" w16cid:durableId="328296162">
    <w:abstractNumId w:val="10"/>
  </w:num>
  <w:num w:numId="21" w16cid:durableId="1690792840">
    <w:abstractNumId w:val="9"/>
  </w:num>
  <w:num w:numId="22" w16cid:durableId="1536648872">
    <w:abstractNumId w:val="13"/>
  </w:num>
  <w:num w:numId="23" w16cid:durableId="23797268">
    <w:abstractNumId w:val="26"/>
  </w:num>
  <w:num w:numId="24" w16cid:durableId="1582904895">
    <w:abstractNumId w:val="2"/>
  </w:num>
  <w:num w:numId="25" w16cid:durableId="439375124">
    <w:abstractNumId w:val="6"/>
  </w:num>
  <w:num w:numId="26" w16cid:durableId="1941327049">
    <w:abstractNumId w:val="21"/>
  </w:num>
  <w:num w:numId="27" w16cid:durableId="1264877012">
    <w:abstractNumId w:val="2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isplayBackgroundShape/>
  <w:embedSystemFonts/>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432"/>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619"/>
    <w:rsid w:val="0000094D"/>
    <w:rsid w:val="00000B17"/>
    <w:rsid w:val="00000F64"/>
    <w:rsid w:val="0000151A"/>
    <w:rsid w:val="00002A77"/>
    <w:rsid w:val="00002BB0"/>
    <w:rsid w:val="00002E07"/>
    <w:rsid w:val="000033FC"/>
    <w:rsid w:val="00003404"/>
    <w:rsid w:val="00003D86"/>
    <w:rsid w:val="00004AD7"/>
    <w:rsid w:val="00004D32"/>
    <w:rsid w:val="00005348"/>
    <w:rsid w:val="00005797"/>
    <w:rsid w:val="0000614C"/>
    <w:rsid w:val="000062CF"/>
    <w:rsid w:val="00006E8C"/>
    <w:rsid w:val="000077E6"/>
    <w:rsid w:val="00007D54"/>
    <w:rsid w:val="000102F2"/>
    <w:rsid w:val="0001038D"/>
    <w:rsid w:val="000109D7"/>
    <w:rsid w:val="0001190A"/>
    <w:rsid w:val="00013225"/>
    <w:rsid w:val="000138B9"/>
    <w:rsid w:val="00013E4F"/>
    <w:rsid w:val="00014CDF"/>
    <w:rsid w:val="00014DFC"/>
    <w:rsid w:val="000164EC"/>
    <w:rsid w:val="00016765"/>
    <w:rsid w:val="00017428"/>
    <w:rsid w:val="00017A21"/>
    <w:rsid w:val="000204F7"/>
    <w:rsid w:val="00021978"/>
    <w:rsid w:val="00021E28"/>
    <w:rsid w:val="0002320D"/>
    <w:rsid w:val="00023818"/>
    <w:rsid w:val="00025BC8"/>
    <w:rsid w:val="00027741"/>
    <w:rsid w:val="000301B1"/>
    <w:rsid w:val="000306AA"/>
    <w:rsid w:val="000312D9"/>
    <w:rsid w:val="00033537"/>
    <w:rsid w:val="000335D4"/>
    <w:rsid w:val="0003466A"/>
    <w:rsid w:val="00034CAF"/>
    <w:rsid w:val="00034FC3"/>
    <w:rsid w:val="00035B1C"/>
    <w:rsid w:val="00036CBC"/>
    <w:rsid w:val="000373AF"/>
    <w:rsid w:val="00041D1E"/>
    <w:rsid w:val="0004251B"/>
    <w:rsid w:val="00042F9A"/>
    <w:rsid w:val="00044598"/>
    <w:rsid w:val="0004510E"/>
    <w:rsid w:val="00045C50"/>
    <w:rsid w:val="00045C9E"/>
    <w:rsid w:val="00046A01"/>
    <w:rsid w:val="0004748C"/>
    <w:rsid w:val="00050672"/>
    <w:rsid w:val="00051636"/>
    <w:rsid w:val="000529CB"/>
    <w:rsid w:val="00053A85"/>
    <w:rsid w:val="000546DE"/>
    <w:rsid w:val="00054DDE"/>
    <w:rsid w:val="00056014"/>
    <w:rsid w:val="000566DD"/>
    <w:rsid w:val="000572ED"/>
    <w:rsid w:val="000577D0"/>
    <w:rsid w:val="00057DED"/>
    <w:rsid w:val="000605E5"/>
    <w:rsid w:val="00060839"/>
    <w:rsid w:val="00060C37"/>
    <w:rsid w:val="00061A91"/>
    <w:rsid w:val="00061B0E"/>
    <w:rsid w:val="00061F3A"/>
    <w:rsid w:val="00062136"/>
    <w:rsid w:val="0006292F"/>
    <w:rsid w:val="000637DB"/>
    <w:rsid w:val="00063972"/>
    <w:rsid w:val="0006398C"/>
    <w:rsid w:val="00063A63"/>
    <w:rsid w:val="00063D7E"/>
    <w:rsid w:val="000643A0"/>
    <w:rsid w:val="00064FAC"/>
    <w:rsid w:val="000704B6"/>
    <w:rsid w:val="000709C9"/>
    <w:rsid w:val="00070D16"/>
    <w:rsid w:val="00070EA9"/>
    <w:rsid w:val="00070FFC"/>
    <w:rsid w:val="00071314"/>
    <w:rsid w:val="000717D0"/>
    <w:rsid w:val="000721CA"/>
    <w:rsid w:val="0007256D"/>
    <w:rsid w:val="000727EB"/>
    <w:rsid w:val="000728CD"/>
    <w:rsid w:val="00074EC1"/>
    <w:rsid w:val="00075945"/>
    <w:rsid w:val="000772CE"/>
    <w:rsid w:val="000807D8"/>
    <w:rsid w:val="00080A29"/>
    <w:rsid w:val="00080A98"/>
    <w:rsid w:val="00080D53"/>
    <w:rsid w:val="00080E27"/>
    <w:rsid w:val="000816EC"/>
    <w:rsid w:val="0008205D"/>
    <w:rsid w:val="000821A2"/>
    <w:rsid w:val="00082718"/>
    <w:rsid w:val="00083758"/>
    <w:rsid w:val="000839E5"/>
    <w:rsid w:val="0008425E"/>
    <w:rsid w:val="000844AA"/>
    <w:rsid w:val="00084C74"/>
    <w:rsid w:val="00084F42"/>
    <w:rsid w:val="00085223"/>
    <w:rsid w:val="000855EE"/>
    <w:rsid w:val="000857B5"/>
    <w:rsid w:val="0008642C"/>
    <w:rsid w:val="00086486"/>
    <w:rsid w:val="0008675F"/>
    <w:rsid w:val="00087809"/>
    <w:rsid w:val="00087B11"/>
    <w:rsid w:val="000906D3"/>
    <w:rsid w:val="000919A5"/>
    <w:rsid w:val="00091CB3"/>
    <w:rsid w:val="00091EEA"/>
    <w:rsid w:val="000930ED"/>
    <w:rsid w:val="00093585"/>
    <w:rsid w:val="00093708"/>
    <w:rsid w:val="000947F1"/>
    <w:rsid w:val="00094BDF"/>
    <w:rsid w:val="00095619"/>
    <w:rsid w:val="00095811"/>
    <w:rsid w:val="000960E3"/>
    <w:rsid w:val="000965EE"/>
    <w:rsid w:val="00096C0E"/>
    <w:rsid w:val="0009723F"/>
    <w:rsid w:val="00097676"/>
    <w:rsid w:val="00097D36"/>
    <w:rsid w:val="000A023D"/>
    <w:rsid w:val="000A03E8"/>
    <w:rsid w:val="000A2022"/>
    <w:rsid w:val="000A2CF8"/>
    <w:rsid w:val="000A3B89"/>
    <w:rsid w:val="000A504A"/>
    <w:rsid w:val="000A55C6"/>
    <w:rsid w:val="000A55D6"/>
    <w:rsid w:val="000A5821"/>
    <w:rsid w:val="000A6011"/>
    <w:rsid w:val="000A662B"/>
    <w:rsid w:val="000A6B6E"/>
    <w:rsid w:val="000A6E41"/>
    <w:rsid w:val="000B0CB2"/>
    <w:rsid w:val="000B0CD9"/>
    <w:rsid w:val="000B1B91"/>
    <w:rsid w:val="000B2194"/>
    <w:rsid w:val="000B238D"/>
    <w:rsid w:val="000B2761"/>
    <w:rsid w:val="000B4165"/>
    <w:rsid w:val="000B42AD"/>
    <w:rsid w:val="000B4696"/>
    <w:rsid w:val="000B477D"/>
    <w:rsid w:val="000B5970"/>
    <w:rsid w:val="000B64EB"/>
    <w:rsid w:val="000B6CB7"/>
    <w:rsid w:val="000B7E73"/>
    <w:rsid w:val="000C1917"/>
    <w:rsid w:val="000C23CB"/>
    <w:rsid w:val="000C23E2"/>
    <w:rsid w:val="000C2BE9"/>
    <w:rsid w:val="000C335A"/>
    <w:rsid w:val="000C3C9F"/>
    <w:rsid w:val="000C651E"/>
    <w:rsid w:val="000C668C"/>
    <w:rsid w:val="000C6691"/>
    <w:rsid w:val="000C72D2"/>
    <w:rsid w:val="000D103F"/>
    <w:rsid w:val="000D1190"/>
    <w:rsid w:val="000D1DB5"/>
    <w:rsid w:val="000D3A4B"/>
    <w:rsid w:val="000D49CE"/>
    <w:rsid w:val="000D558A"/>
    <w:rsid w:val="000D5647"/>
    <w:rsid w:val="000D647B"/>
    <w:rsid w:val="000D6AEB"/>
    <w:rsid w:val="000D7B23"/>
    <w:rsid w:val="000E0CFE"/>
    <w:rsid w:val="000E1785"/>
    <w:rsid w:val="000E195D"/>
    <w:rsid w:val="000E1C19"/>
    <w:rsid w:val="000E20E5"/>
    <w:rsid w:val="000E2F42"/>
    <w:rsid w:val="000E3551"/>
    <w:rsid w:val="000E4B75"/>
    <w:rsid w:val="000E5185"/>
    <w:rsid w:val="000E5458"/>
    <w:rsid w:val="000E5512"/>
    <w:rsid w:val="000E5513"/>
    <w:rsid w:val="000E67B5"/>
    <w:rsid w:val="000E7197"/>
    <w:rsid w:val="000E7582"/>
    <w:rsid w:val="000F06B9"/>
    <w:rsid w:val="000F07FD"/>
    <w:rsid w:val="000F0B27"/>
    <w:rsid w:val="000F0B2E"/>
    <w:rsid w:val="000F1A94"/>
    <w:rsid w:val="000F20DA"/>
    <w:rsid w:val="000F3C7C"/>
    <w:rsid w:val="000F3DC2"/>
    <w:rsid w:val="000F4DC8"/>
    <w:rsid w:val="000F50F4"/>
    <w:rsid w:val="000F6248"/>
    <w:rsid w:val="000F640A"/>
    <w:rsid w:val="000F6D54"/>
    <w:rsid w:val="000F6EA1"/>
    <w:rsid w:val="000F7D54"/>
    <w:rsid w:val="001002A6"/>
    <w:rsid w:val="00100336"/>
    <w:rsid w:val="00100BC3"/>
    <w:rsid w:val="001015B0"/>
    <w:rsid w:val="00103D4C"/>
    <w:rsid w:val="00104E28"/>
    <w:rsid w:val="00104EAE"/>
    <w:rsid w:val="0010564B"/>
    <w:rsid w:val="001066BB"/>
    <w:rsid w:val="00106A76"/>
    <w:rsid w:val="00106CF1"/>
    <w:rsid w:val="00107802"/>
    <w:rsid w:val="00107BA6"/>
    <w:rsid w:val="00110A42"/>
    <w:rsid w:val="0011119F"/>
    <w:rsid w:val="00111322"/>
    <w:rsid w:val="00111D8D"/>
    <w:rsid w:val="00112260"/>
    <w:rsid w:val="00112282"/>
    <w:rsid w:val="00112F19"/>
    <w:rsid w:val="00113315"/>
    <w:rsid w:val="001143B5"/>
    <w:rsid w:val="001148EE"/>
    <w:rsid w:val="00115180"/>
    <w:rsid w:val="00115597"/>
    <w:rsid w:val="00115AFC"/>
    <w:rsid w:val="0011623D"/>
    <w:rsid w:val="00116317"/>
    <w:rsid w:val="00117454"/>
    <w:rsid w:val="001175F8"/>
    <w:rsid w:val="001176D3"/>
    <w:rsid w:val="00117B5E"/>
    <w:rsid w:val="00117CED"/>
    <w:rsid w:val="001211DA"/>
    <w:rsid w:val="00121348"/>
    <w:rsid w:val="00121A15"/>
    <w:rsid w:val="00121DB2"/>
    <w:rsid w:val="0012238B"/>
    <w:rsid w:val="00122796"/>
    <w:rsid w:val="001228F3"/>
    <w:rsid w:val="001237AC"/>
    <w:rsid w:val="0012471E"/>
    <w:rsid w:val="00124D8A"/>
    <w:rsid w:val="001254F1"/>
    <w:rsid w:val="001263E1"/>
    <w:rsid w:val="00126D04"/>
    <w:rsid w:val="0012739F"/>
    <w:rsid w:val="001279C6"/>
    <w:rsid w:val="00127AC0"/>
    <w:rsid w:val="00130AB0"/>
    <w:rsid w:val="00131ED5"/>
    <w:rsid w:val="00132152"/>
    <w:rsid w:val="001339DB"/>
    <w:rsid w:val="00135760"/>
    <w:rsid w:val="00137300"/>
    <w:rsid w:val="00137C0C"/>
    <w:rsid w:val="00141B19"/>
    <w:rsid w:val="0014380D"/>
    <w:rsid w:val="001442BE"/>
    <w:rsid w:val="00144322"/>
    <w:rsid w:val="00145B59"/>
    <w:rsid w:val="00147D93"/>
    <w:rsid w:val="00147DBA"/>
    <w:rsid w:val="001500F9"/>
    <w:rsid w:val="001503B6"/>
    <w:rsid w:val="0015169B"/>
    <w:rsid w:val="00151F05"/>
    <w:rsid w:val="0015265F"/>
    <w:rsid w:val="001528C7"/>
    <w:rsid w:val="0015322C"/>
    <w:rsid w:val="001532ED"/>
    <w:rsid w:val="00154B5A"/>
    <w:rsid w:val="00155261"/>
    <w:rsid w:val="00155417"/>
    <w:rsid w:val="00155803"/>
    <w:rsid w:val="00156142"/>
    <w:rsid w:val="001563C0"/>
    <w:rsid w:val="00157465"/>
    <w:rsid w:val="00157533"/>
    <w:rsid w:val="00157B15"/>
    <w:rsid w:val="001608C7"/>
    <w:rsid w:val="00161000"/>
    <w:rsid w:val="00161742"/>
    <w:rsid w:val="00161BD7"/>
    <w:rsid w:val="00162175"/>
    <w:rsid w:val="0016363F"/>
    <w:rsid w:val="00163B2B"/>
    <w:rsid w:val="001645D7"/>
    <w:rsid w:val="00164D8B"/>
    <w:rsid w:val="0016543D"/>
    <w:rsid w:val="00165ED4"/>
    <w:rsid w:val="00165ED7"/>
    <w:rsid w:val="001665C9"/>
    <w:rsid w:val="0016694F"/>
    <w:rsid w:val="00167678"/>
    <w:rsid w:val="00167E54"/>
    <w:rsid w:val="00170293"/>
    <w:rsid w:val="0017070F"/>
    <w:rsid w:val="001721C6"/>
    <w:rsid w:val="00172B68"/>
    <w:rsid w:val="00173391"/>
    <w:rsid w:val="0017388C"/>
    <w:rsid w:val="00174DBA"/>
    <w:rsid w:val="00175065"/>
    <w:rsid w:val="0017528F"/>
    <w:rsid w:val="00175B4D"/>
    <w:rsid w:val="00175D85"/>
    <w:rsid w:val="0017609D"/>
    <w:rsid w:val="00176AC0"/>
    <w:rsid w:val="00177298"/>
    <w:rsid w:val="00177C54"/>
    <w:rsid w:val="00177DAA"/>
    <w:rsid w:val="00177EEA"/>
    <w:rsid w:val="00181B32"/>
    <w:rsid w:val="00181DBE"/>
    <w:rsid w:val="001825BE"/>
    <w:rsid w:val="00183DFB"/>
    <w:rsid w:val="001841B2"/>
    <w:rsid w:val="001849A1"/>
    <w:rsid w:val="00184E23"/>
    <w:rsid w:val="00185051"/>
    <w:rsid w:val="0018631C"/>
    <w:rsid w:val="00187D7B"/>
    <w:rsid w:val="00191710"/>
    <w:rsid w:val="00191E22"/>
    <w:rsid w:val="0019245C"/>
    <w:rsid w:val="00192AB2"/>
    <w:rsid w:val="00193092"/>
    <w:rsid w:val="0019381B"/>
    <w:rsid w:val="00194E44"/>
    <w:rsid w:val="00195164"/>
    <w:rsid w:val="00196CF4"/>
    <w:rsid w:val="001973F8"/>
    <w:rsid w:val="001A0496"/>
    <w:rsid w:val="001A0A17"/>
    <w:rsid w:val="001A12EC"/>
    <w:rsid w:val="001A1943"/>
    <w:rsid w:val="001A1A5A"/>
    <w:rsid w:val="001A28FD"/>
    <w:rsid w:val="001A2FA8"/>
    <w:rsid w:val="001A35F9"/>
    <w:rsid w:val="001A427B"/>
    <w:rsid w:val="001A4634"/>
    <w:rsid w:val="001A4702"/>
    <w:rsid w:val="001A478D"/>
    <w:rsid w:val="001A479F"/>
    <w:rsid w:val="001A513E"/>
    <w:rsid w:val="001A5285"/>
    <w:rsid w:val="001A5B77"/>
    <w:rsid w:val="001A6DF9"/>
    <w:rsid w:val="001A6F61"/>
    <w:rsid w:val="001A7416"/>
    <w:rsid w:val="001A76E1"/>
    <w:rsid w:val="001A776D"/>
    <w:rsid w:val="001B1011"/>
    <w:rsid w:val="001B124E"/>
    <w:rsid w:val="001B3092"/>
    <w:rsid w:val="001B3AA9"/>
    <w:rsid w:val="001B44E2"/>
    <w:rsid w:val="001B456E"/>
    <w:rsid w:val="001B4A09"/>
    <w:rsid w:val="001B57D3"/>
    <w:rsid w:val="001B5B04"/>
    <w:rsid w:val="001B6732"/>
    <w:rsid w:val="001C0EF8"/>
    <w:rsid w:val="001C1CB9"/>
    <w:rsid w:val="001C3D62"/>
    <w:rsid w:val="001C6349"/>
    <w:rsid w:val="001C6DC5"/>
    <w:rsid w:val="001C74BE"/>
    <w:rsid w:val="001D0B0F"/>
    <w:rsid w:val="001D1713"/>
    <w:rsid w:val="001D2746"/>
    <w:rsid w:val="001D37E4"/>
    <w:rsid w:val="001D4749"/>
    <w:rsid w:val="001D4D4E"/>
    <w:rsid w:val="001D53CA"/>
    <w:rsid w:val="001D5C53"/>
    <w:rsid w:val="001D5FC8"/>
    <w:rsid w:val="001D6691"/>
    <w:rsid w:val="001D775C"/>
    <w:rsid w:val="001D799A"/>
    <w:rsid w:val="001D7A71"/>
    <w:rsid w:val="001D7A8B"/>
    <w:rsid w:val="001E0155"/>
    <w:rsid w:val="001E1158"/>
    <w:rsid w:val="001E2432"/>
    <w:rsid w:val="001E303B"/>
    <w:rsid w:val="001E3691"/>
    <w:rsid w:val="001E3CDD"/>
    <w:rsid w:val="001E4F04"/>
    <w:rsid w:val="001E5274"/>
    <w:rsid w:val="001E584E"/>
    <w:rsid w:val="001E5BFC"/>
    <w:rsid w:val="001E61AD"/>
    <w:rsid w:val="001E61C7"/>
    <w:rsid w:val="001E6203"/>
    <w:rsid w:val="001E677D"/>
    <w:rsid w:val="001E6785"/>
    <w:rsid w:val="001E6B8C"/>
    <w:rsid w:val="001E70EC"/>
    <w:rsid w:val="001F0BFC"/>
    <w:rsid w:val="001F20A1"/>
    <w:rsid w:val="001F2E06"/>
    <w:rsid w:val="001F321E"/>
    <w:rsid w:val="001F34FA"/>
    <w:rsid w:val="001F3503"/>
    <w:rsid w:val="001F4CB3"/>
    <w:rsid w:val="001F4F72"/>
    <w:rsid w:val="001F5CC5"/>
    <w:rsid w:val="001F5DD6"/>
    <w:rsid w:val="001F61B7"/>
    <w:rsid w:val="001F660A"/>
    <w:rsid w:val="001F6FBC"/>
    <w:rsid w:val="001F7093"/>
    <w:rsid w:val="001F7B8A"/>
    <w:rsid w:val="002001E1"/>
    <w:rsid w:val="00201092"/>
    <w:rsid w:val="0020168C"/>
    <w:rsid w:val="00201968"/>
    <w:rsid w:val="002031C5"/>
    <w:rsid w:val="00204B9F"/>
    <w:rsid w:val="0020514B"/>
    <w:rsid w:val="00205C4F"/>
    <w:rsid w:val="0020643B"/>
    <w:rsid w:val="00210F54"/>
    <w:rsid w:val="0021130F"/>
    <w:rsid w:val="00213E74"/>
    <w:rsid w:val="002142F8"/>
    <w:rsid w:val="00215356"/>
    <w:rsid w:val="0021585D"/>
    <w:rsid w:val="00215CB6"/>
    <w:rsid w:val="00216552"/>
    <w:rsid w:val="00216E86"/>
    <w:rsid w:val="00217004"/>
    <w:rsid w:val="0022001F"/>
    <w:rsid w:val="0022094C"/>
    <w:rsid w:val="00221456"/>
    <w:rsid w:val="002222BB"/>
    <w:rsid w:val="0022262B"/>
    <w:rsid w:val="002228AE"/>
    <w:rsid w:val="0022374E"/>
    <w:rsid w:val="00223AB7"/>
    <w:rsid w:val="002256F8"/>
    <w:rsid w:val="00226E81"/>
    <w:rsid w:val="0023024C"/>
    <w:rsid w:val="00230C2F"/>
    <w:rsid w:val="00232A7A"/>
    <w:rsid w:val="00233A0A"/>
    <w:rsid w:val="00236572"/>
    <w:rsid w:val="002367FD"/>
    <w:rsid w:val="0023742B"/>
    <w:rsid w:val="00240AA8"/>
    <w:rsid w:val="00240B0B"/>
    <w:rsid w:val="0024140B"/>
    <w:rsid w:val="00241DAA"/>
    <w:rsid w:val="00241EE4"/>
    <w:rsid w:val="00243119"/>
    <w:rsid w:val="0024330D"/>
    <w:rsid w:val="00244480"/>
    <w:rsid w:val="00244CC2"/>
    <w:rsid w:val="00244DEE"/>
    <w:rsid w:val="00245ABE"/>
    <w:rsid w:val="00246D15"/>
    <w:rsid w:val="00247949"/>
    <w:rsid w:val="00250223"/>
    <w:rsid w:val="002532EC"/>
    <w:rsid w:val="002538AC"/>
    <w:rsid w:val="002547F3"/>
    <w:rsid w:val="00254D8A"/>
    <w:rsid w:val="0025578E"/>
    <w:rsid w:val="00256223"/>
    <w:rsid w:val="00256F1D"/>
    <w:rsid w:val="00257371"/>
    <w:rsid w:val="00257B67"/>
    <w:rsid w:val="00257EA1"/>
    <w:rsid w:val="0026077F"/>
    <w:rsid w:val="0026143E"/>
    <w:rsid w:val="0026150C"/>
    <w:rsid w:val="0026160F"/>
    <w:rsid w:val="0026241A"/>
    <w:rsid w:val="002624BA"/>
    <w:rsid w:val="00262722"/>
    <w:rsid w:val="002627D9"/>
    <w:rsid w:val="00263007"/>
    <w:rsid w:val="002636EF"/>
    <w:rsid w:val="00263E77"/>
    <w:rsid w:val="0026497E"/>
    <w:rsid w:val="00264A9D"/>
    <w:rsid w:val="00265657"/>
    <w:rsid w:val="002666B4"/>
    <w:rsid w:val="0026782E"/>
    <w:rsid w:val="00267ED6"/>
    <w:rsid w:val="0027028B"/>
    <w:rsid w:val="002703BA"/>
    <w:rsid w:val="00270EA1"/>
    <w:rsid w:val="00272CEB"/>
    <w:rsid w:val="00273459"/>
    <w:rsid w:val="00273645"/>
    <w:rsid w:val="00273808"/>
    <w:rsid w:val="00274569"/>
    <w:rsid w:val="00274659"/>
    <w:rsid w:val="00274754"/>
    <w:rsid w:val="002747E8"/>
    <w:rsid w:val="00274C42"/>
    <w:rsid w:val="0027568E"/>
    <w:rsid w:val="00275D7A"/>
    <w:rsid w:val="002762EC"/>
    <w:rsid w:val="00276AEA"/>
    <w:rsid w:val="00277968"/>
    <w:rsid w:val="00277ACE"/>
    <w:rsid w:val="00277AEB"/>
    <w:rsid w:val="00281461"/>
    <w:rsid w:val="00282604"/>
    <w:rsid w:val="0028287D"/>
    <w:rsid w:val="00283F06"/>
    <w:rsid w:val="002845AC"/>
    <w:rsid w:val="002850DE"/>
    <w:rsid w:val="00285708"/>
    <w:rsid w:val="00286969"/>
    <w:rsid w:val="00286A0A"/>
    <w:rsid w:val="00286C84"/>
    <w:rsid w:val="00286CFE"/>
    <w:rsid w:val="002877AC"/>
    <w:rsid w:val="00287C38"/>
    <w:rsid w:val="00290B12"/>
    <w:rsid w:val="00290F2D"/>
    <w:rsid w:val="002912EC"/>
    <w:rsid w:val="002918D9"/>
    <w:rsid w:val="002925DE"/>
    <w:rsid w:val="00293E6D"/>
    <w:rsid w:val="00294194"/>
    <w:rsid w:val="0029495B"/>
    <w:rsid w:val="002956A6"/>
    <w:rsid w:val="00295869"/>
    <w:rsid w:val="00295913"/>
    <w:rsid w:val="00296900"/>
    <w:rsid w:val="00296C1E"/>
    <w:rsid w:val="00297395"/>
    <w:rsid w:val="002A04F4"/>
    <w:rsid w:val="002A0794"/>
    <w:rsid w:val="002A091A"/>
    <w:rsid w:val="002A0A3D"/>
    <w:rsid w:val="002A0E9A"/>
    <w:rsid w:val="002A1B60"/>
    <w:rsid w:val="002A361B"/>
    <w:rsid w:val="002A3F64"/>
    <w:rsid w:val="002A4071"/>
    <w:rsid w:val="002A46E1"/>
    <w:rsid w:val="002A4ADC"/>
    <w:rsid w:val="002A4B64"/>
    <w:rsid w:val="002A5501"/>
    <w:rsid w:val="002A5B12"/>
    <w:rsid w:val="002A7411"/>
    <w:rsid w:val="002A74CC"/>
    <w:rsid w:val="002A777C"/>
    <w:rsid w:val="002B090F"/>
    <w:rsid w:val="002B0CC9"/>
    <w:rsid w:val="002B1EEC"/>
    <w:rsid w:val="002B24A6"/>
    <w:rsid w:val="002B24E9"/>
    <w:rsid w:val="002B31E7"/>
    <w:rsid w:val="002B3370"/>
    <w:rsid w:val="002B35D6"/>
    <w:rsid w:val="002B3B76"/>
    <w:rsid w:val="002B421D"/>
    <w:rsid w:val="002B43A1"/>
    <w:rsid w:val="002B47C6"/>
    <w:rsid w:val="002B4D01"/>
    <w:rsid w:val="002B620E"/>
    <w:rsid w:val="002B641D"/>
    <w:rsid w:val="002B71C7"/>
    <w:rsid w:val="002B7640"/>
    <w:rsid w:val="002B7AFD"/>
    <w:rsid w:val="002B7D60"/>
    <w:rsid w:val="002C0DDE"/>
    <w:rsid w:val="002C0FCA"/>
    <w:rsid w:val="002C1001"/>
    <w:rsid w:val="002C102D"/>
    <w:rsid w:val="002C1812"/>
    <w:rsid w:val="002C1A9B"/>
    <w:rsid w:val="002C1D20"/>
    <w:rsid w:val="002C1DA0"/>
    <w:rsid w:val="002C1E9B"/>
    <w:rsid w:val="002C28E5"/>
    <w:rsid w:val="002C728D"/>
    <w:rsid w:val="002D029D"/>
    <w:rsid w:val="002D0348"/>
    <w:rsid w:val="002D0950"/>
    <w:rsid w:val="002D0F6E"/>
    <w:rsid w:val="002D1889"/>
    <w:rsid w:val="002D3EF6"/>
    <w:rsid w:val="002D41C2"/>
    <w:rsid w:val="002D4C9F"/>
    <w:rsid w:val="002D4EB8"/>
    <w:rsid w:val="002D5033"/>
    <w:rsid w:val="002D51D1"/>
    <w:rsid w:val="002D5718"/>
    <w:rsid w:val="002D5E95"/>
    <w:rsid w:val="002D61A8"/>
    <w:rsid w:val="002D6658"/>
    <w:rsid w:val="002D693E"/>
    <w:rsid w:val="002E008F"/>
    <w:rsid w:val="002E0ADA"/>
    <w:rsid w:val="002E1263"/>
    <w:rsid w:val="002E166A"/>
    <w:rsid w:val="002E193E"/>
    <w:rsid w:val="002E268D"/>
    <w:rsid w:val="002E26C8"/>
    <w:rsid w:val="002E37E9"/>
    <w:rsid w:val="002E38E2"/>
    <w:rsid w:val="002E3EAB"/>
    <w:rsid w:val="002E4B9B"/>
    <w:rsid w:val="002F0022"/>
    <w:rsid w:val="002F0320"/>
    <w:rsid w:val="002F090A"/>
    <w:rsid w:val="002F0E31"/>
    <w:rsid w:val="002F14AB"/>
    <w:rsid w:val="002F1D96"/>
    <w:rsid w:val="002F21EB"/>
    <w:rsid w:val="002F2314"/>
    <w:rsid w:val="002F2CFE"/>
    <w:rsid w:val="002F2E10"/>
    <w:rsid w:val="002F30BD"/>
    <w:rsid w:val="002F34CE"/>
    <w:rsid w:val="002F439E"/>
    <w:rsid w:val="002F43C4"/>
    <w:rsid w:val="002F45A4"/>
    <w:rsid w:val="002F6161"/>
    <w:rsid w:val="002F7AF1"/>
    <w:rsid w:val="003000B6"/>
    <w:rsid w:val="00300729"/>
    <w:rsid w:val="00300C1D"/>
    <w:rsid w:val="00301375"/>
    <w:rsid w:val="00302365"/>
    <w:rsid w:val="003051D7"/>
    <w:rsid w:val="00305E6A"/>
    <w:rsid w:val="00307210"/>
    <w:rsid w:val="003072FC"/>
    <w:rsid w:val="0030764E"/>
    <w:rsid w:val="00310555"/>
    <w:rsid w:val="00312131"/>
    <w:rsid w:val="00312984"/>
    <w:rsid w:val="00312A1D"/>
    <w:rsid w:val="00312F2A"/>
    <w:rsid w:val="0031312E"/>
    <w:rsid w:val="0031320A"/>
    <w:rsid w:val="0031345D"/>
    <w:rsid w:val="0031388D"/>
    <w:rsid w:val="003142C6"/>
    <w:rsid w:val="00314594"/>
    <w:rsid w:val="0031611B"/>
    <w:rsid w:val="00316914"/>
    <w:rsid w:val="0031768A"/>
    <w:rsid w:val="003214E2"/>
    <w:rsid w:val="0032177F"/>
    <w:rsid w:val="00321911"/>
    <w:rsid w:val="00322368"/>
    <w:rsid w:val="00322821"/>
    <w:rsid w:val="0032290D"/>
    <w:rsid w:val="0032352A"/>
    <w:rsid w:val="00323A82"/>
    <w:rsid w:val="00323E0E"/>
    <w:rsid w:val="00324333"/>
    <w:rsid w:val="003250DA"/>
    <w:rsid w:val="00325D4A"/>
    <w:rsid w:val="00326844"/>
    <w:rsid w:val="00327A3E"/>
    <w:rsid w:val="00327DEC"/>
    <w:rsid w:val="0033050A"/>
    <w:rsid w:val="0033154D"/>
    <w:rsid w:val="00331AD2"/>
    <w:rsid w:val="00332566"/>
    <w:rsid w:val="00332799"/>
    <w:rsid w:val="003331C0"/>
    <w:rsid w:val="00333432"/>
    <w:rsid w:val="0033358F"/>
    <w:rsid w:val="00333BAB"/>
    <w:rsid w:val="00334149"/>
    <w:rsid w:val="003344F0"/>
    <w:rsid w:val="00334896"/>
    <w:rsid w:val="00335C4C"/>
    <w:rsid w:val="00343E71"/>
    <w:rsid w:val="00344275"/>
    <w:rsid w:val="003445DB"/>
    <w:rsid w:val="00344D94"/>
    <w:rsid w:val="00346131"/>
    <w:rsid w:val="00346313"/>
    <w:rsid w:val="003463D8"/>
    <w:rsid w:val="0034669E"/>
    <w:rsid w:val="00346727"/>
    <w:rsid w:val="003469A9"/>
    <w:rsid w:val="00347062"/>
    <w:rsid w:val="00350215"/>
    <w:rsid w:val="003502B3"/>
    <w:rsid w:val="003503BB"/>
    <w:rsid w:val="00350461"/>
    <w:rsid w:val="00350829"/>
    <w:rsid w:val="00350C6D"/>
    <w:rsid w:val="00350EDF"/>
    <w:rsid w:val="003518C5"/>
    <w:rsid w:val="00351CD8"/>
    <w:rsid w:val="003542ED"/>
    <w:rsid w:val="00354512"/>
    <w:rsid w:val="003566DE"/>
    <w:rsid w:val="00357A7C"/>
    <w:rsid w:val="00357C59"/>
    <w:rsid w:val="00357E12"/>
    <w:rsid w:val="003617F1"/>
    <w:rsid w:val="00361A77"/>
    <w:rsid w:val="00361AA6"/>
    <w:rsid w:val="0036217A"/>
    <w:rsid w:val="00362C1E"/>
    <w:rsid w:val="00363C26"/>
    <w:rsid w:val="00363DC6"/>
    <w:rsid w:val="003646B1"/>
    <w:rsid w:val="0036481F"/>
    <w:rsid w:val="00365429"/>
    <w:rsid w:val="003655C1"/>
    <w:rsid w:val="0036593A"/>
    <w:rsid w:val="00365C10"/>
    <w:rsid w:val="00365FC9"/>
    <w:rsid w:val="00366185"/>
    <w:rsid w:val="003665FE"/>
    <w:rsid w:val="0036715D"/>
    <w:rsid w:val="00370165"/>
    <w:rsid w:val="00370CDF"/>
    <w:rsid w:val="003715F9"/>
    <w:rsid w:val="0037201F"/>
    <w:rsid w:val="00372391"/>
    <w:rsid w:val="003724FD"/>
    <w:rsid w:val="00374553"/>
    <w:rsid w:val="003762A9"/>
    <w:rsid w:val="003762CD"/>
    <w:rsid w:val="00377278"/>
    <w:rsid w:val="0038058B"/>
    <w:rsid w:val="00381C2F"/>
    <w:rsid w:val="00382150"/>
    <w:rsid w:val="003824CF"/>
    <w:rsid w:val="00382864"/>
    <w:rsid w:val="0038357D"/>
    <w:rsid w:val="0038496B"/>
    <w:rsid w:val="00384A15"/>
    <w:rsid w:val="00384C14"/>
    <w:rsid w:val="00385F55"/>
    <w:rsid w:val="00386036"/>
    <w:rsid w:val="00386157"/>
    <w:rsid w:val="00387957"/>
    <w:rsid w:val="0039030E"/>
    <w:rsid w:val="003909E0"/>
    <w:rsid w:val="0039201B"/>
    <w:rsid w:val="00392928"/>
    <w:rsid w:val="00392FE7"/>
    <w:rsid w:val="00394AD0"/>
    <w:rsid w:val="00396360"/>
    <w:rsid w:val="003977F9"/>
    <w:rsid w:val="003A002D"/>
    <w:rsid w:val="003A006F"/>
    <w:rsid w:val="003A025D"/>
    <w:rsid w:val="003A1DD5"/>
    <w:rsid w:val="003A220A"/>
    <w:rsid w:val="003A3034"/>
    <w:rsid w:val="003A3BAF"/>
    <w:rsid w:val="003A41DD"/>
    <w:rsid w:val="003A4E41"/>
    <w:rsid w:val="003A52A5"/>
    <w:rsid w:val="003A68D5"/>
    <w:rsid w:val="003A6B5E"/>
    <w:rsid w:val="003A6D73"/>
    <w:rsid w:val="003A6E90"/>
    <w:rsid w:val="003A74AA"/>
    <w:rsid w:val="003B0E00"/>
    <w:rsid w:val="003B12A5"/>
    <w:rsid w:val="003B168F"/>
    <w:rsid w:val="003B1ABA"/>
    <w:rsid w:val="003B2360"/>
    <w:rsid w:val="003B27B2"/>
    <w:rsid w:val="003B2BAB"/>
    <w:rsid w:val="003B33EA"/>
    <w:rsid w:val="003B390F"/>
    <w:rsid w:val="003B43C3"/>
    <w:rsid w:val="003B465C"/>
    <w:rsid w:val="003B468C"/>
    <w:rsid w:val="003B5101"/>
    <w:rsid w:val="003B57E3"/>
    <w:rsid w:val="003B615F"/>
    <w:rsid w:val="003B6CBD"/>
    <w:rsid w:val="003B7750"/>
    <w:rsid w:val="003B7BCB"/>
    <w:rsid w:val="003C0D86"/>
    <w:rsid w:val="003C13E5"/>
    <w:rsid w:val="003C1463"/>
    <w:rsid w:val="003C22BC"/>
    <w:rsid w:val="003C315E"/>
    <w:rsid w:val="003C3330"/>
    <w:rsid w:val="003C34A5"/>
    <w:rsid w:val="003C3592"/>
    <w:rsid w:val="003C39EA"/>
    <w:rsid w:val="003C3C72"/>
    <w:rsid w:val="003C5ED9"/>
    <w:rsid w:val="003C608B"/>
    <w:rsid w:val="003C6877"/>
    <w:rsid w:val="003C7041"/>
    <w:rsid w:val="003D02AD"/>
    <w:rsid w:val="003D0F81"/>
    <w:rsid w:val="003D1005"/>
    <w:rsid w:val="003D18F8"/>
    <w:rsid w:val="003D19E4"/>
    <w:rsid w:val="003D1C1A"/>
    <w:rsid w:val="003D247E"/>
    <w:rsid w:val="003D2CCB"/>
    <w:rsid w:val="003D42BF"/>
    <w:rsid w:val="003D43A9"/>
    <w:rsid w:val="003D4C1D"/>
    <w:rsid w:val="003D4C86"/>
    <w:rsid w:val="003E0F55"/>
    <w:rsid w:val="003E1A05"/>
    <w:rsid w:val="003E1C82"/>
    <w:rsid w:val="003E2153"/>
    <w:rsid w:val="003E299E"/>
    <w:rsid w:val="003E3BA5"/>
    <w:rsid w:val="003E3E47"/>
    <w:rsid w:val="003E3E86"/>
    <w:rsid w:val="003E4E16"/>
    <w:rsid w:val="003F0DA8"/>
    <w:rsid w:val="003F1048"/>
    <w:rsid w:val="003F104C"/>
    <w:rsid w:val="003F1D67"/>
    <w:rsid w:val="003F30D9"/>
    <w:rsid w:val="003F312B"/>
    <w:rsid w:val="003F3937"/>
    <w:rsid w:val="003F408F"/>
    <w:rsid w:val="003F4349"/>
    <w:rsid w:val="003F4E49"/>
    <w:rsid w:val="003F59F8"/>
    <w:rsid w:val="003F65AB"/>
    <w:rsid w:val="003F6700"/>
    <w:rsid w:val="003F6966"/>
    <w:rsid w:val="003F784D"/>
    <w:rsid w:val="004004DA"/>
    <w:rsid w:val="004010D6"/>
    <w:rsid w:val="00401208"/>
    <w:rsid w:val="00401215"/>
    <w:rsid w:val="00401D01"/>
    <w:rsid w:val="00401F14"/>
    <w:rsid w:val="004024C6"/>
    <w:rsid w:val="0040278B"/>
    <w:rsid w:val="00404134"/>
    <w:rsid w:val="00404D8A"/>
    <w:rsid w:val="00404EB5"/>
    <w:rsid w:val="00405021"/>
    <w:rsid w:val="004053E9"/>
    <w:rsid w:val="00406A31"/>
    <w:rsid w:val="00406BA1"/>
    <w:rsid w:val="0041101F"/>
    <w:rsid w:val="004121A1"/>
    <w:rsid w:val="00412B8C"/>
    <w:rsid w:val="004137AB"/>
    <w:rsid w:val="00413E57"/>
    <w:rsid w:val="00414ACF"/>
    <w:rsid w:val="00415837"/>
    <w:rsid w:val="0041657B"/>
    <w:rsid w:val="00417103"/>
    <w:rsid w:val="00417B03"/>
    <w:rsid w:val="00417E13"/>
    <w:rsid w:val="00421196"/>
    <w:rsid w:val="00421F4E"/>
    <w:rsid w:val="00422EF4"/>
    <w:rsid w:val="00422F37"/>
    <w:rsid w:val="004234C6"/>
    <w:rsid w:val="00423C04"/>
    <w:rsid w:val="004242B1"/>
    <w:rsid w:val="00424349"/>
    <w:rsid w:val="0042436E"/>
    <w:rsid w:val="0042437B"/>
    <w:rsid w:val="00424C7F"/>
    <w:rsid w:val="00424EE3"/>
    <w:rsid w:val="00425316"/>
    <w:rsid w:val="00425393"/>
    <w:rsid w:val="0042572D"/>
    <w:rsid w:val="004261B9"/>
    <w:rsid w:val="00426DC6"/>
    <w:rsid w:val="00426FF5"/>
    <w:rsid w:val="004275BD"/>
    <w:rsid w:val="004275BF"/>
    <w:rsid w:val="0042796D"/>
    <w:rsid w:val="004304D9"/>
    <w:rsid w:val="0043060F"/>
    <w:rsid w:val="0043074B"/>
    <w:rsid w:val="00431D3D"/>
    <w:rsid w:val="00432A3E"/>
    <w:rsid w:val="0043320D"/>
    <w:rsid w:val="0043397D"/>
    <w:rsid w:val="00433A28"/>
    <w:rsid w:val="00433B1B"/>
    <w:rsid w:val="00434C47"/>
    <w:rsid w:val="0043515F"/>
    <w:rsid w:val="004368C6"/>
    <w:rsid w:val="00436AA7"/>
    <w:rsid w:val="00436ED2"/>
    <w:rsid w:val="0044089C"/>
    <w:rsid w:val="004413AF"/>
    <w:rsid w:val="00441756"/>
    <w:rsid w:val="00443860"/>
    <w:rsid w:val="004443D5"/>
    <w:rsid w:val="00444999"/>
    <w:rsid w:val="00445FF3"/>
    <w:rsid w:val="0044667E"/>
    <w:rsid w:val="00446AA0"/>
    <w:rsid w:val="00446B15"/>
    <w:rsid w:val="00446D7E"/>
    <w:rsid w:val="004470C9"/>
    <w:rsid w:val="00450464"/>
    <w:rsid w:val="00451A4D"/>
    <w:rsid w:val="00452C26"/>
    <w:rsid w:val="00453E97"/>
    <w:rsid w:val="00454763"/>
    <w:rsid w:val="00454B2F"/>
    <w:rsid w:val="00454C15"/>
    <w:rsid w:val="00454C19"/>
    <w:rsid w:val="00454F1F"/>
    <w:rsid w:val="00455C1E"/>
    <w:rsid w:val="00456386"/>
    <w:rsid w:val="004563C6"/>
    <w:rsid w:val="00456583"/>
    <w:rsid w:val="0045784A"/>
    <w:rsid w:val="00457A93"/>
    <w:rsid w:val="00457C24"/>
    <w:rsid w:val="0046039A"/>
    <w:rsid w:val="00460E64"/>
    <w:rsid w:val="00461998"/>
    <w:rsid w:val="00461C07"/>
    <w:rsid w:val="0046248D"/>
    <w:rsid w:val="00462AB0"/>
    <w:rsid w:val="00462C23"/>
    <w:rsid w:val="004631BC"/>
    <w:rsid w:val="004631BD"/>
    <w:rsid w:val="0046396D"/>
    <w:rsid w:val="00463F2C"/>
    <w:rsid w:val="00464B9E"/>
    <w:rsid w:val="00467E0B"/>
    <w:rsid w:val="004701FD"/>
    <w:rsid w:val="0047063F"/>
    <w:rsid w:val="00470772"/>
    <w:rsid w:val="00470C7D"/>
    <w:rsid w:val="00472570"/>
    <w:rsid w:val="004747BF"/>
    <w:rsid w:val="00474C47"/>
    <w:rsid w:val="004756CC"/>
    <w:rsid w:val="00476792"/>
    <w:rsid w:val="0047697A"/>
    <w:rsid w:val="00477FFB"/>
    <w:rsid w:val="00480858"/>
    <w:rsid w:val="00481008"/>
    <w:rsid w:val="004834E0"/>
    <w:rsid w:val="00483848"/>
    <w:rsid w:val="00483C24"/>
    <w:rsid w:val="0048412E"/>
    <w:rsid w:val="0048433C"/>
    <w:rsid w:val="004844C6"/>
    <w:rsid w:val="00484E89"/>
    <w:rsid w:val="0048538A"/>
    <w:rsid w:val="00485E6D"/>
    <w:rsid w:val="00486E98"/>
    <w:rsid w:val="004877DC"/>
    <w:rsid w:val="00490F57"/>
    <w:rsid w:val="004926A5"/>
    <w:rsid w:val="004936E4"/>
    <w:rsid w:val="00494B95"/>
    <w:rsid w:val="00494EA7"/>
    <w:rsid w:val="0049548F"/>
    <w:rsid w:val="00495B18"/>
    <w:rsid w:val="00495D03"/>
    <w:rsid w:val="0049799F"/>
    <w:rsid w:val="00497DC9"/>
    <w:rsid w:val="004A0EAF"/>
    <w:rsid w:val="004A124D"/>
    <w:rsid w:val="004A166C"/>
    <w:rsid w:val="004A1932"/>
    <w:rsid w:val="004A2415"/>
    <w:rsid w:val="004A2A40"/>
    <w:rsid w:val="004A2EBD"/>
    <w:rsid w:val="004A41FE"/>
    <w:rsid w:val="004A45E9"/>
    <w:rsid w:val="004A50B0"/>
    <w:rsid w:val="004A6A18"/>
    <w:rsid w:val="004A7782"/>
    <w:rsid w:val="004A7FA6"/>
    <w:rsid w:val="004B0DB2"/>
    <w:rsid w:val="004B2AF5"/>
    <w:rsid w:val="004B2B0D"/>
    <w:rsid w:val="004B31D1"/>
    <w:rsid w:val="004B44D2"/>
    <w:rsid w:val="004B492D"/>
    <w:rsid w:val="004B5848"/>
    <w:rsid w:val="004B5918"/>
    <w:rsid w:val="004B5E8F"/>
    <w:rsid w:val="004B69BF"/>
    <w:rsid w:val="004B700F"/>
    <w:rsid w:val="004B71B4"/>
    <w:rsid w:val="004B7836"/>
    <w:rsid w:val="004B7995"/>
    <w:rsid w:val="004B7D88"/>
    <w:rsid w:val="004C0100"/>
    <w:rsid w:val="004C010A"/>
    <w:rsid w:val="004C03DB"/>
    <w:rsid w:val="004C0873"/>
    <w:rsid w:val="004C176E"/>
    <w:rsid w:val="004C1AD5"/>
    <w:rsid w:val="004C1C4B"/>
    <w:rsid w:val="004C20DE"/>
    <w:rsid w:val="004C2473"/>
    <w:rsid w:val="004C34A4"/>
    <w:rsid w:val="004C372B"/>
    <w:rsid w:val="004C430F"/>
    <w:rsid w:val="004C4473"/>
    <w:rsid w:val="004C5192"/>
    <w:rsid w:val="004D05CD"/>
    <w:rsid w:val="004D06BE"/>
    <w:rsid w:val="004D1375"/>
    <w:rsid w:val="004D1B63"/>
    <w:rsid w:val="004D200D"/>
    <w:rsid w:val="004D2DEF"/>
    <w:rsid w:val="004D36BA"/>
    <w:rsid w:val="004D3BAA"/>
    <w:rsid w:val="004D3D35"/>
    <w:rsid w:val="004D4813"/>
    <w:rsid w:val="004D5072"/>
    <w:rsid w:val="004D5860"/>
    <w:rsid w:val="004D5C11"/>
    <w:rsid w:val="004D6E0B"/>
    <w:rsid w:val="004D78DF"/>
    <w:rsid w:val="004E0309"/>
    <w:rsid w:val="004E0B4A"/>
    <w:rsid w:val="004E1AD4"/>
    <w:rsid w:val="004E1FCC"/>
    <w:rsid w:val="004E2F4D"/>
    <w:rsid w:val="004E3690"/>
    <w:rsid w:val="004E4C7A"/>
    <w:rsid w:val="004E5858"/>
    <w:rsid w:val="004E59BB"/>
    <w:rsid w:val="004E5A42"/>
    <w:rsid w:val="004E5C25"/>
    <w:rsid w:val="004E7C1C"/>
    <w:rsid w:val="004F03EA"/>
    <w:rsid w:val="004F048B"/>
    <w:rsid w:val="004F04B3"/>
    <w:rsid w:val="004F14F0"/>
    <w:rsid w:val="004F1E31"/>
    <w:rsid w:val="004F295B"/>
    <w:rsid w:val="004F3065"/>
    <w:rsid w:val="004F3BFC"/>
    <w:rsid w:val="004F3C3F"/>
    <w:rsid w:val="004F3EB3"/>
    <w:rsid w:val="004F41D6"/>
    <w:rsid w:val="004F5932"/>
    <w:rsid w:val="004F63D7"/>
    <w:rsid w:val="004F63E2"/>
    <w:rsid w:val="004F66ED"/>
    <w:rsid w:val="00500631"/>
    <w:rsid w:val="0050099B"/>
    <w:rsid w:val="005019CD"/>
    <w:rsid w:val="00501ED9"/>
    <w:rsid w:val="00502DC2"/>
    <w:rsid w:val="005038FD"/>
    <w:rsid w:val="005039E5"/>
    <w:rsid w:val="00510076"/>
    <w:rsid w:val="00510B48"/>
    <w:rsid w:val="00510B80"/>
    <w:rsid w:val="00510EA2"/>
    <w:rsid w:val="00512A8C"/>
    <w:rsid w:val="00513A33"/>
    <w:rsid w:val="00513B89"/>
    <w:rsid w:val="00514D1A"/>
    <w:rsid w:val="00515581"/>
    <w:rsid w:val="0051568D"/>
    <w:rsid w:val="00516AD0"/>
    <w:rsid w:val="005172EF"/>
    <w:rsid w:val="005175C8"/>
    <w:rsid w:val="00517A94"/>
    <w:rsid w:val="00520435"/>
    <w:rsid w:val="005209D4"/>
    <w:rsid w:val="00520B85"/>
    <w:rsid w:val="005216E2"/>
    <w:rsid w:val="005222D7"/>
    <w:rsid w:val="0052277C"/>
    <w:rsid w:val="00523392"/>
    <w:rsid w:val="0052722E"/>
    <w:rsid w:val="0053076D"/>
    <w:rsid w:val="00530C3C"/>
    <w:rsid w:val="00531B6A"/>
    <w:rsid w:val="00531F34"/>
    <w:rsid w:val="0053401A"/>
    <w:rsid w:val="00534E75"/>
    <w:rsid w:val="00535B68"/>
    <w:rsid w:val="00535D56"/>
    <w:rsid w:val="00536657"/>
    <w:rsid w:val="005373BB"/>
    <w:rsid w:val="005377CE"/>
    <w:rsid w:val="00540433"/>
    <w:rsid w:val="00540F85"/>
    <w:rsid w:val="005410E4"/>
    <w:rsid w:val="00543741"/>
    <w:rsid w:val="00543883"/>
    <w:rsid w:val="00543D52"/>
    <w:rsid w:val="00543FE1"/>
    <w:rsid w:val="00544DCD"/>
    <w:rsid w:val="00544F11"/>
    <w:rsid w:val="0054608E"/>
    <w:rsid w:val="00546B57"/>
    <w:rsid w:val="00550BCD"/>
    <w:rsid w:val="00551958"/>
    <w:rsid w:val="00551C55"/>
    <w:rsid w:val="00552524"/>
    <w:rsid w:val="00553105"/>
    <w:rsid w:val="00553552"/>
    <w:rsid w:val="005537EB"/>
    <w:rsid w:val="00553E22"/>
    <w:rsid w:val="005543D3"/>
    <w:rsid w:val="00554481"/>
    <w:rsid w:val="00554769"/>
    <w:rsid w:val="00554E16"/>
    <w:rsid w:val="005557FD"/>
    <w:rsid w:val="00556551"/>
    <w:rsid w:val="00556AA7"/>
    <w:rsid w:val="005571BE"/>
    <w:rsid w:val="005571CF"/>
    <w:rsid w:val="0055770F"/>
    <w:rsid w:val="00557FDD"/>
    <w:rsid w:val="00560697"/>
    <w:rsid w:val="005607D6"/>
    <w:rsid w:val="00561B89"/>
    <w:rsid w:val="00562417"/>
    <w:rsid w:val="005634EE"/>
    <w:rsid w:val="00563D4E"/>
    <w:rsid w:val="00565AC2"/>
    <w:rsid w:val="00565B9C"/>
    <w:rsid w:val="00566281"/>
    <w:rsid w:val="00566E24"/>
    <w:rsid w:val="00567E69"/>
    <w:rsid w:val="005700F4"/>
    <w:rsid w:val="00570AC0"/>
    <w:rsid w:val="00570C9F"/>
    <w:rsid w:val="00571210"/>
    <w:rsid w:val="00572085"/>
    <w:rsid w:val="005724A9"/>
    <w:rsid w:val="00572898"/>
    <w:rsid w:val="005733B6"/>
    <w:rsid w:val="005740AC"/>
    <w:rsid w:val="005742DB"/>
    <w:rsid w:val="00574FF8"/>
    <w:rsid w:val="00575F6B"/>
    <w:rsid w:val="005764A2"/>
    <w:rsid w:val="0057789A"/>
    <w:rsid w:val="00577972"/>
    <w:rsid w:val="00577F1E"/>
    <w:rsid w:val="00580AEC"/>
    <w:rsid w:val="005812AA"/>
    <w:rsid w:val="0058242B"/>
    <w:rsid w:val="00584596"/>
    <w:rsid w:val="005860CE"/>
    <w:rsid w:val="00586693"/>
    <w:rsid w:val="005909EC"/>
    <w:rsid w:val="00590AD3"/>
    <w:rsid w:val="00590BD8"/>
    <w:rsid w:val="00590CBF"/>
    <w:rsid w:val="00590D7D"/>
    <w:rsid w:val="00590DC1"/>
    <w:rsid w:val="005911D5"/>
    <w:rsid w:val="005915AB"/>
    <w:rsid w:val="0059282A"/>
    <w:rsid w:val="005928CB"/>
    <w:rsid w:val="00592EB2"/>
    <w:rsid w:val="00593F16"/>
    <w:rsid w:val="00594471"/>
    <w:rsid w:val="00594A30"/>
    <w:rsid w:val="00594F97"/>
    <w:rsid w:val="005957D3"/>
    <w:rsid w:val="00595B94"/>
    <w:rsid w:val="00596153"/>
    <w:rsid w:val="00596F4B"/>
    <w:rsid w:val="005972CB"/>
    <w:rsid w:val="0059731D"/>
    <w:rsid w:val="005A016A"/>
    <w:rsid w:val="005A02A4"/>
    <w:rsid w:val="005A0823"/>
    <w:rsid w:val="005A097F"/>
    <w:rsid w:val="005A1950"/>
    <w:rsid w:val="005A4D82"/>
    <w:rsid w:val="005A5507"/>
    <w:rsid w:val="005A5A50"/>
    <w:rsid w:val="005A5E43"/>
    <w:rsid w:val="005A602E"/>
    <w:rsid w:val="005A60C6"/>
    <w:rsid w:val="005A66E1"/>
    <w:rsid w:val="005A6704"/>
    <w:rsid w:val="005A784A"/>
    <w:rsid w:val="005A7F5B"/>
    <w:rsid w:val="005B096A"/>
    <w:rsid w:val="005B2248"/>
    <w:rsid w:val="005B28ED"/>
    <w:rsid w:val="005B29E1"/>
    <w:rsid w:val="005B29EF"/>
    <w:rsid w:val="005B4A32"/>
    <w:rsid w:val="005B4AF9"/>
    <w:rsid w:val="005B4D40"/>
    <w:rsid w:val="005B594F"/>
    <w:rsid w:val="005C04FB"/>
    <w:rsid w:val="005C05D3"/>
    <w:rsid w:val="005C1111"/>
    <w:rsid w:val="005C13F4"/>
    <w:rsid w:val="005C1F5C"/>
    <w:rsid w:val="005C27C6"/>
    <w:rsid w:val="005C27F6"/>
    <w:rsid w:val="005C289F"/>
    <w:rsid w:val="005C3076"/>
    <w:rsid w:val="005C3B9F"/>
    <w:rsid w:val="005C6A31"/>
    <w:rsid w:val="005C6CAB"/>
    <w:rsid w:val="005C6DF6"/>
    <w:rsid w:val="005C6F09"/>
    <w:rsid w:val="005C7441"/>
    <w:rsid w:val="005C76FB"/>
    <w:rsid w:val="005C7AB0"/>
    <w:rsid w:val="005C7F75"/>
    <w:rsid w:val="005D016C"/>
    <w:rsid w:val="005D056A"/>
    <w:rsid w:val="005D0E6A"/>
    <w:rsid w:val="005D0FF5"/>
    <w:rsid w:val="005D1005"/>
    <w:rsid w:val="005D3D05"/>
    <w:rsid w:val="005D56BE"/>
    <w:rsid w:val="005D577C"/>
    <w:rsid w:val="005D6352"/>
    <w:rsid w:val="005D6A88"/>
    <w:rsid w:val="005D6CCF"/>
    <w:rsid w:val="005D6E45"/>
    <w:rsid w:val="005D74F3"/>
    <w:rsid w:val="005D7FFE"/>
    <w:rsid w:val="005E0215"/>
    <w:rsid w:val="005E1365"/>
    <w:rsid w:val="005E18C2"/>
    <w:rsid w:val="005E19B7"/>
    <w:rsid w:val="005E1B07"/>
    <w:rsid w:val="005E26EE"/>
    <w:rsid w:val="005E2CEC"/>
    <w:rsid w:val="005E301E"/>
    <w:rsid w:val="005E497B"/>
    <w:rsid w:val="005E5414"/>
    <w:rsid w:val="005E5451"/>
    <w:rsid w:val="005E5697"/>
    <w:rsid w:val="005E5CD2"/>
    <w:rsid w:val="005E643B"/>
    <w:rsid w:val="005E6665"/>
    <w:rsid w:val="005E6A1A"/>
    <w:rsid w:val="005E75D6"/>
    <w:rsid w:val="005E786C"/>
    <w:rsid w:val="005F08A8"/>
    <w:rsid w:val="005F08B5"/>
    <w:rsid w:val="005F0E47"/>
    <w:rsid w:val="005F202B"/>
    <w:rsid w:val="005F4BD0"/>
    <w:rsid w:val="005F5643"/>
    <w:rsid w:val="005F657A"/>
    <w:rsid w:val="005F72B8"/>
    <w:rsid w:val="005F7A5B"/>
    <w:rsid w:val="005F7BBC"/>
    <w:rsid w:val="0060054B"/>
    <w:rsid w:val="00600990"/>
    <w:rsid w:val="00600CE6"/>
    <w:rsid w:val="0060185C"/>
    <w:rsid w:val="00601F6E"/>
    <w:rsid w:val="006035F8"/>
    <w:rsid w:val="0060410A"/>
    <w:rsid w:val="006044C8"/>
    <w:rsid w:val="00604946"/>
    <w:rsid w:val="006049EB"/>
    <w:rsid w:val="00605A74"/>
    <w:rsid w:val="00605C31"/>
    <w:rsid w:val="0060749A"/>
    <w:rsid w:val="00607B83"/>
    <w:rsid w:val="0061009B"/>
    <w:rsid w:val="0061105F"/>
    <w:rsid w:val="00611F57"/>
    <w:rsid w:val="00612602"/>
    <w:rsid w:val="0061261A"/>
    <w:rsid w:val="0061298D"/>
    <w:rsid w:val="00612DEA"/>
    <w:rsid w:val="00612FA8"/>
    <w:rsid w:val="006131A4"/>
    <w:rsid w:val="0061323A"/>
    <w:rsid w:val="00613EC9"/>
    <w:rsid w:val="00614275"/>
    <w:rsid w:val="006143C0"/>
    <w:rsid w:val="0061473E"/>
    <w:rsid w:val="0061599D"/>
    <w:rsid w:val="006164AA"/>
    <w:rsid w:val="00616B52"/>
    <w:rsid w:val="00617430"/>
    <w:rsid w:val="00620640"/>
    <w:rsid w:val="00620B58"/>
    <w:rsid w:val="00621A50"/>
    <w:rsid w:val="00623143"/>
    <w:rsid w:val="00623DA7"/>
    <w:rsid w:val="00625404"/>
    <w:rsid w:val="006258C0"/>
    <w:rsid w:val="006262A0"/>
    <w:rsid w:val="006262E1"/>
    <w:rsid w:val="00626535"/>
    <w:rsid w:val="00626A92"/>
    <w:rsid w:val="00626BCC"/>
    <w:rsid w:val="0062753F"/>
    <w:rsid w:val="00627894"/>
    <w:rsid w:val="00630D82"/>
    <w:rsid w:val="006312D1"/>
    <w:rsid w:val="006315FB"/>
    <w:rsid w:val="00631643"/>
    <w:rsid w:val="00633198"/>
    <w:rsid w:val="00633377"/>
    <w:rsid w:val="006335A0"/>
    <w:rsid w:val="006355F8"/>
    <w:rsid w:val="006358AD"/>
    <w:rsid w:val="006360FB"/>
    <w:rsid w:val="0063671C"/>
    <w:rsid w:val="00636843"/>
    <w:rsid w:val="00640A19"/>
    <w:rsid w:val="0064102C"/>
    <w:rsid w:val="00641592"/>
    <w:rsid w:val="00642BE5"/>
    <w:rsid w:val="00643C2F"/>
    <w:rsid w:val="00644014"/>
    <w:rsid w:val="0064428F"/>
    <w:rsid w:val="00644EDA"/>
    <w:rsid w:val="00645085"/>
    <w:rsid w:val="00645BB1"/>
    <w:rsid w:val="0064721C"/>
    <w:rsid w:val="006472D6"/>
    <w:rsid w:val="00647320"/>
    <w:rsid w:val="006478F5"/>
    <w:rsid w:val="00650402"/>
    <w:rsid w:val="0065364E"/>
    <w:rsid w:val="006541C1"/>
    <w:rsid w:val="00654385"/>
    <w:rsid w:val="0065451A"/>
    <w:rsid w:val="00655960"/>
    <w:rsid w:val="00656095"/>
    <w:rsid w:val="006563FD"/>
    <w:rsid w:val="006569B3"/>
    <w:rsid w:val="00657224"/>
    <w:rsid w:val="00657288"/>
    <w:rsid w:val="006574BB"/>
    <w:rsid w:val="006576C3"/>
    <w:rsid w:val="006601F4"/>
    <w:rsid w:val="00660400"/>
    <w:rsid w:val="006608B0"/>
    <w:rsid w:val="00661072"/>
    <w:rsid w:val="0066260E"/>
    <w:rsid w:val="00662F19"/>
    <w:rsid w:val="0066393B"/>
    <w:rsid w:val="00663ADB"/>
    <w:rsid w:val="00664251"/>
    <w:rsid w:val="00664CB8"/>
    <w:rsid w:val="0066638C"/>
    <w:rsid w:val="0066642F"/>
    <w:rsid w:val="00666742"/>
    <w:rsid w:val="00666E25"/>
    <w:rsid w:val="006677B2"/>
    <w:rsid w:val="00667B77"/>
    <w:rsid w:val="00671310"/>
    <w:rsid w:val="00672155"/>
    <w:rsid w:val="00673595"/>
    <w:rsid w:val="006735D7"/>
    <w:rsid w:val="00673705"/>
    <w:rsid w:val="00674603"/>
    <w:rsid w:val="006748F5"/>
    <w:rsid w:val="0067512E"/>
    <w:rsid w:val="006758FB"/>
    <w:rsid w:val="00675EBD"/>
    <w:rsid w:val="00675F4E"/>
    <w:rsid w:val="0067646D"/>
    <w:rsid w:val="006803B9"/>
    <w:rsid w:val="00680460"/>
    <w:rsid w:val="00681372"/>
    <w:rsid w:val="0068139D"/>
    <w:rsid w:val="00681DBA"/>
    <w:rsid w:val="006836E5"/>
    <w:rsid w:val="006836E6"/>
    <w:rsid w:val="0068485D"/>
    <w:rsid w:val="00684B99"/>
    <w:rsid w:val="006856FD"/>
    <w:rsid w:val="00685AF1"/>
    <w:rsid w:val="00685ED4"/>
    <w:rsid w:val="00687F48"/>
    <w:rsid w:val="00690464"/>
    <w:rsid w:val="006907AD"/>
    <w:rsid w:val="0069162F"/>
    <w:rsid w:val="00691FC3"/>
    <w:rsid w:val="00692A7E"/>
    <w:rsid w:val="00692C4A"/>
    <w:rsid w:val="00693621"/>
    <w:rsid w:val="00693D9F"/>
    <w:rsid w:val="0069440C"/>
    <w:rsid w:val="00694C44"/>
    <w:rsid w:val="00694F0E"/>
    <w:rsid w:val="0069526B"/>
    <w:rsid w:val="00695FE3"/>
    <w:rsid w:val="0069614B"/>
    <w:rsid w:val="00697FFA"/>
    <w:rsid w:val="006A13B4"/>
    <w:rsid w:val="006A29B8"/>
    <w:rsid w:val="006A2A16"/>
    <w:rsid w:val="006A350E"/>
    <w:rsid w:val="006A4899"/>
    <w:rsid w:val="006A5953"/>
    <w:rsid w:val="006A7F58"/>
    <w:rsid w:val="006B03AD"/>
    <w:rsid w:val="006B1840"/>
    <w:rsid w:val="006B19C3"/>
    <w:rsid w:val="006B1E6B"/>
    <w:rsid w:val="006B2147"/>
    <w:rsid w:val="006B3285"/>
    <w:rsid w:val="006B469D"/>
    <w:rsid w:val="006B58BA"/>
    <w:rsid w:val="006B5D52"/>
    <w:rsid w:val="006B64F7"/>
    <w:rsid w:val="006B7EF7"/>
    <w:rsid w:val="006C0BC2"/>
    <w:rsid w:val="006C138D"/>
    <w:rsid w:val="006C16DF"/>
    <w:rsid w:val="006C17EF"/>
    <w:rsid w:val="006C1C15"/>
    <w:rsid w:val="006C22C0"/>
    <w:rsid w:val="006C2746"/>
    <w:rsid w:val="006C27BE"/>
    <w:rsid w:val="006C284A"/>
    <w:rsid w:val="006C33EC"/>
    <w:rsid w:val="006C3427"/>
    <w:rsid w:val="006C394C"/>
    <w:rsid w:val="006C3ACB"/>
    <w:rsid w:val="006C4764"/>
    <w:rsid w:val="006C4784"/>
    <w:rsid w:val="006C538E"/>
    <w:rsid w:val="006C5E57"/>
    <w:rsid w:val="006C5FCE"/>
    <w:rsid w:val="006C746C"/>
    <w:rsid w:val="006D0041"/>
    <w:rsid w:val="006D0B86"/>
    <w:rsid w:val="006D0CAF"/>
    <w:rsid w:val="006D1455"/>
    <w:rsid w:val="006D19D1"/>
    <w:rsid w:val="006D1FE2"/>
    <w:rsid w:val="006D2DD8"/>
    <w:rsid w:val="006D3E91"/>
    <w:rsid w:val="006D45E4"/>
    <w:rsid w:val="006D5055"/>
    <w:rsid w:val="006D5334"/>
    <w:rsid w:val="006D7FD1"/>
    <w:rsid w:val="006E0176"/>
    <w:rsid w:val="006E1283"/>
    <w:rsid w:val="006E29E4"/>
    <w:rsid w:val="006E2A1B"/>
    <w:rsid w:val="006E3299"/>
    <w:rsid w:val="006E3E3C"/>
    <w:rsid w:val="006E426B"/>
    <w:rsid w:val="006E4DA9"/>
    <w:rsid w:val="006E5146"/>
    <w:rsid w:val="006E5274"/>
    <w:rsid w:val="006E6996"/>
    <w:rsid w:val="006E6E8D"/>
    <w:rsid w:val="006E7A28"/>
    <w:rsid w:val="006E7AFD"/>
    <w:rsid w:val="006E7C6A"/>
    <w:rsid w:val="006F021A"/>
    <w:rsid w:val="006F058A"/>
    <w:rsid w:val="006F243E"/>
    <w:rsid w:val="006F2635"/>
    <w:rsid w:val="006F3770"/>
    <w:rsid w:val="006F4064"/>
    <w:rsid w:val="006F4113"/>
    <w:rsid w:val="006F45FC"/>
    <w:rsid w:val="006F4CA9"/>
    <w:rsid w:val="006F4D37"/>
    <w:rsid w:val="006F55F9"/>
    <w:rsid w:val="006F58D0"/>
    <w:rsid w:val="006F654F"/>
    <w:rsid w:val="006F6F6A"/>
    <w:rsid w:val="006F7378"/>
    <w:rsid w:val="006F7654"/>
    <w:rsid w:val="006F7B53"/>
    <w:rsid w:val="006F7E7B"/>
    <w:rsid w:val="006F7EE2"/>
    <w:rsid w:val="00700DCD"/>
    <w:rsid w:val="007013BD"/>
    <w:rsid w:val="00701901"/>
    <w:rsid w:val="00703540"/>
    <w:rsid w:val="00704845"/>
    <w:rsid w:val="00704933"/>
    <w:rsid w:val="00704A00"/>
    <w:rsid w:val="00704B7A"/>
    <w:rsid w:val="00705076"/>
    <w:rsid w:val="00705702"/>
    <w:rsid w:val="007063CE"/>
    <w:rsid w:val="0070660B"/>
    <w:rsid w:val="00707CA7"/>
    <w:rsid w:val="00710ADC"/>
    <w:rsid w:val="007117F2"/>
    <w:rsid w:val="007127FA"/>
    <w:rsid w:val="00712CA6"/>
    <w:rsid w:val="007135A9"/>
    <w:rsid w:val="0071393A"/>
    <w:rsid w:val="00713D96"/>
    <w:rsid w:val="00714429"/>
    <w:rsid w:val="00715E5B"/>
    <w:rsid w:val="007165FA"/>
    <w:rsid w:val="007201EF"/>
    <w:rsid w:val="00720707"/>
    <w:rsid w:val="007217FC"/>
    <w:rsid w:val="00721ECA"/>
    <w:rsid w:val="00722412"/>
    <w:rsid w:val="00722EF3"/>
    <w:rsid w:val="00722F53"/>
    <w:rsid w:val="00723993"/>
    <w:rsid w:val="00724465"/>
    <w:rsid w:val="00724AB9"/>
    <w:rsid w:val="00724EFE"/>
    <w:rsid w:val="00724F28"/>
    <w:rsid w:val="00725C61"/>
    <w:rsid w:val="00727208"/>
    <w:rsid w:val="00727345"/>
    <w:rsid w:val="00727C78"/>
    <w:rsid w:val="007302C6"/>
    <w:rsid w:val="00730755"/>
    <w:rsid w:val="00730DAF"/>
    <w:rsid w:val="00731548"/>
    <w:rsid w:val="007320E6"/>
    <w:rsid w:val="00732731"/>
    <w:rsid w:val="00733A07"/>
    <w:rsid w:val="00733CBB"/>
    <w:rsid w:val="007347D8"/>
    <w:rsid w:val="007351E7"/>
    <w:rsid w:val="00736C98"/>
    <w:rsid w:val="00736E9D"/>
    <w:rsid w:val="00737784"/>
    <w:rsid w:val="0073779E"/>
    <w:rsid w:val="00737C41"/>
    <w:rsid w:val="007401F3"/>
    <w:rsid w:val="00740AC7"/>
    <w:rsid w:val="00740DD6"/>
    <w:rsid w:val="0074110B"/>
    <w:rsid w:val="0074129A"/>
    <w:rsid w:val="00741E83"/>
    <w:rsid w:val="007421AD"/>
    <w:rsid w:val="007426F8"/>
    <w:rsid w:val="00743A0C"/>
    <w:rsid w:val="00743B58"/>
    <w:rsid w:val="00743D61"/>
    <w:rsid w:val="00743EE5"/>
    <w:rsid w:val="007444B5"/>
    <w:rsid w:val="0074464A"/>
    <w:rsid w:val="00744895"/>
    <w:rsid w:val="00744F62"/>
    <w:rsid w:val="0074514A"/>
    <w:rsid w:val="00745820"/>
    <w:rsid w:val="00745BFE"/>
    <w:rsid w:val="00745E74"/>
    <w:rsid w:val="00746456"/>
    <w:rsid w:val="00746675"/>
    <w:rsid w:val="0074683D"/>
    <w:rsid w:val="00746B61"/>
    <w:rsid w:val="0074761D"/>
    <w:rsid w:val="007503D3"/>
    <w:rsid w:val="0075047B"/>
    <w:rsid w:val="007518CB"/>
    <w:rsid w:val="00752C81"/>
    <w:rsid w:val="0075304C"/>
    <w:rsid w:val="0075320F"/>
    <w:rsid w:val="0075322A"/>
    <w:rsid w:val="007532A8"/>
    <w:rsid w:val="007549F5"/>
    <w:rsid w:val="007552E5"/>
    <w:rsid w:val="00755910"/>
    <w:rsid w:val="00755C04"/>
    <w:rsid w:val="00756EDB"/>
    <w:rsid w:val="0075735B"/>
    <w:rsid w:val="00757A61"/>
    <w:rsid w:val="00757B61"/>
    <w:rsid w:val="00760282"/>
    <w:rsid w:val="00760C7F"/>
    <w:rsid w:val="007611E1"/>
    <w:rsid w:val="00761FA9"/>
    <w:rsid w:val="00762511"/>
    <w:rsid w:val="00764C8F"/>
    <w:rsid w:val="00764DC2"/>
    <w:rsid w:val="00765544"/>
    <w:rsid w:val="00765712"/>
    <w:rsid w:val="00766A6B"/>
    <w:rsid w:val="00766D86"/>
    <w:rsid w:val="0076731A"/>
    <w:rsid w:val="0076732D"/>
    <w:rsid w:val="00767F0B"/>
    <w:rsid w:val="00770B26"/>
    <w:rsid w:val="00770F1A"/>
    <w:rsid w:val="007719DF"/>
    <w:rsid w:val="00771CCE"/>
    <w:rsid w:val="00772F16"/>
    <w:rsid w:val="007732EB"/>
    <w:rsid w:val="00773A99"/>
    <w:rsid w:val="00773AA0"/>
    <w:rsid w:val="00774E2A"/>
    <w:rsid w:val="00774E66"/>
    <w:rsid w:val="0077529D"/>
    <w:rsid w:val="0077567C"/>
    <w:rsid w:val="007758A5"/>
    <w:rsid w:val="0077601D"/>
    <w:rsid w:val="00776D4A"/>
    <w:rsid w:val="00777453"/>
    <w:rsid w:val="007801C8"/>
    <w:rsid w:val="00782A49"/>
    <w:rsid w:val="00782E12"/>
    <w:rsid w:val="007830DF"/>
    <w:rsid w:val="007844AB"/>
    <w:rsid w:val="00784A4D"/>
    <w:rsid w:val="00785619"/>
    <w:rsid w:val="007867B9"/>
    <w:rsid w:val="0078726F"/>
    <w:rsid w:val="00787BD5"/>
    <w:rsid w:val="00787E7E"/>
    <w:rsid w:val="00791F82"/>
    <w:rsid w:val="007923E5"/>
    <w:rsid w:val="0079256F"/>
    <w:rsid w:val="00793850"/>
    <w:rsid w:val="00793B20"/>
    <w:rsid w:val="007944AA"/>
    <w:rsid w:val="0079467D"/>
    <w:rsid w:val="007947B9"/>
    <w:rsid w:val="007962D3"/>
    <w:rsid w:val="0079753F"/>
    <w:rsid w:val="007A11F9"/>
    <w:rsid w:val="007A1770"/>
    <w:rsid w:val="007A177D"/>
    <w:rsid w:val="007A1FD4"/>
    <w:rsid w:val="007A2DD2"/>
    <w:rsid w:val="007A2EF5"/>
    <w:rsid w:val="007A33C0"/>
    <w:rsid w:val="007A4F88"/>
    <w:rsid w:val="007A5489"/>
    <w:rsid w:val="007A5CFD"/>
    <w:rsid w:val="007A6003"/>
    <w:rsid w:val="007A65E1"/>
    <w:rsid w:val="007A7129"/>
    <w:rsid w:val="007A7D32"/>
    <w:rsid w:val="007B0729"/>
    <w:rsid w:val="007B0E0B"/>
    <w:rsid w:val="007B0E5B"/>
    <w:rsid w:val="007B0EFC"/>
    <w:rsid w:val="007B1A1E"/>
    <w:rsid w:val="007B206B"/>
    <w:rsid w:val="007B2B61"/>
    <w:rsid w:val="007B48A3"/>
    <w:rsid w:val="007B4963"/>
    <w:rsid w:val="007B59FF"/>
    <w:rsid w:val="007B6AAF"/>
    <w:rsid w:val="007B77BF"/>
    <w:rsid w:val="007B7840"/>
    <w:rsid w:val="007B7E2E"/>
    <w:rsid w:val="007C01CB"/>
    <w:rsid w:val="007C103E"/>
    <w:rsid w:val="007C1CAC"/>
    <w:rsid w:val="007C2410"/>
    <w:rsid w:val="007C3174"/>
    <w:rsid w:val="007C32E9"/>
    <w:rsid w:val="007C369B"/>
    <w:rsid w:val="007C3F20"/>
    <w:rsid w:val="007C4251"/>
    <w:rsid w:val="007C5A34"/>
    <w:rsid w:val="007C6205"/>
    <w:rsid w:val="007C652B"/>
    <w:rsid w:val="007C6B73"/>
    <w:rsid w:val="007C6F29"/>
    <w:rsid w:val="007C70CD"/>
    <w:rsid w:val="007C7185"/>
    <w:rsid w:val="007C7438"/>
    <w:rsid w:val="007C766C"/>
    <w:rsid w:val="007C7F46"/>
    <w:rsid w:val="007D0EE1"/>
    <w:rsid w:val="007D1074"/>
    <w:rsid w:val="007D1283"/>
    <w:rsid w:val="007D18C2"/>
    <w:rsid w:val="007D1EFD"/>
    <w:rsid w:val="007D20B0"/>
    <w:rsid w:val="007D2BE5"/>
    <w:rsid w:val="007D35E3"/>
    <w:rsid w:val="007D4016"/>
    <w:rsid w:val="007D4A85"/>
    <w:rsid w:val="007D51F4"/>
    <w:rsid w:val="007D55BE"/>
    <w:rsid w:val="007D6CD1"/>
    <w:rsid w:val="007D744C"/>
    <w:rsid w:val="007D7558"/>
    <w:rsid w:val="007E0412"/>
    <w:rsid w:val="007E08E2"/>
    <w:rsid w:val="007E112F"/>
    <w:rsid w:val="007E1CCB"/>
    <w:rsid w:val="007E3773"/>
    <w:rsid w:val="007E4060"/>
    <w:rsid w:val="007E53BE"/>
    <w:rsid w:val="007E5501"/>
    <w:rsid w:val="007E5B2E"/>
    <w:rsid w:val="007E5B47"/>
    <w:rsid w:val="007F0B48"/>
    <w:rsid w:val="007F0D6E"/>
    <w:rsid w:val="007F2A9C"/>
    <w:rsid w:val="007F3E84"/>
    <w:rsid w:val="007F40B2"/>
    <w:rsid w:val="007F450A"/>
    <w:rsid w:val="007F52E6"/>
    <w:rsid w:val="007F5AE7"/>
    <w:rsid w:val="007F5B59"/>
    <w:rsid w:val="007F61D9"/>
    <w:rsid w:val="007F6B5F"/>
    <w:rsid w:val="007F6BF8"/>
    <w:rsid w:val="007F71E9"/>
    <w:rsid w:val="008007CC"/>
    <w:rsid w:val="00800EF3"/>
    <w:rsid w:val="008019CB"/>
    <w:rsid w:val="00804BDE"/>
    <w:rsid w:val="00805193"/>
    <w:rsid w:val="00805B2C"/>
    <w:rsid w:val="00805BD9"/>
    <w:rsid w:val="00805E07"/>
    <w:rsid w:val="008067BA"/>
    <w:rsid w:val="00807740"/>
    <w:rsid w:val="00810576"/>
    <w:rsid w:val="00812DA5"/>
    <w:rsid w:val="0081327A"/>
    <w:rsid w:val="00813BCD"/>
    <w:rsid w:val="00815144"/>
    <w:rsid w:val="00815804"/>
    <w:rsid w:val="00815AED"/>
    <w:rsid w:val="00815B64"/>
    <w:rsid w:val="00816902"/>
    <w:rsid w:val="00816CA7"/>
    <w:rsid w:val="0081788E"/>
    <w:rsid w:val="0081791D"/>
    <w:rsid w:val="00817C2A"/>
    <w:rsid w:val="00817D8E"/>
    <w:rsid w:val="008210A4"/>
    <w:rsid w:val="00821CAF"/>
    <w:rsid w:val="00821DA0"/>
    <w:rsid w:val="00822302"/>
    <w:rsid w:val="008225CF"/>
    <w:rsid w:val="00822B63"/>
    <w:rsid w:val="00824773"/>
    <w:rsid w:val="00824A90"/>
    <w:rsid w:val="00824ED1"/>
    <w:rsid w:val="0082527F"/>
    <w:rsid w:val="008305FF"/>
    <w:rsid w:val="0083068E"/>
    <w:rsid w:val="00831A0A"/>
    <w:rsid w:val="008324D6"/>
    <w:rsid w:val="00833262"/>
    <w:rsid w:val="008336FA"/>
    <w:rsid w:val="0083399F"/>
    <w:rsid w:val="0083468F"/>
    <w:rsid w:val="00834859"/>
    <w:rsid w:val="00834B9F"/>
    <w:rsid w:val="00835B71"/>
    <w:rsid w:val="00836D31"/>
    <w:rsid w:val="00837869"/>
    <w:rsid w:val="00837A34"/>
    <w:rsid w:val="00841CDF"/>
    <w:rsid w:val="008421B3"/>
    <w:rsid w:val="00842707"/>
    <w:rsid w:val="008428B7"/>
    <w:rsid w:val="00842C6C"/>
    <w:rsid w:val="0084431D"/>
    <w:rsid w:val="00845311"/>
    <w:rsid w:val="00845C0D"/>
    <w:rsid w:val="00846DD2"/>
    <w:rsid w:val="008509CB"/>
    <w:rsid w:val="0085136B"/>
    <w:rsid w:val="0085148A"/>
    <w:rsid w:val="008524CA"/>
    <w:rsid w:val="00852CE4"/>
    <w:rsid w:val="00853531"/>
    <w:rsid w:val="00853D07"/>
    <w:rsid w:val="00854AF6"/>
    <w:rsid w:val="0085599B"/>
    <w:rsid w:val="00855F5F"/>
    <w:rsid w:val="00856458"/>
    <w:rsid w:val="008615B9"/>
    <w:rsid w:val="00861FFD"/>
    <w:rsid w:val="008632F6"/>
    <w:rsid w:val="008636B3"/>
    <w:rsid w:val="00863DB8"/>
    <w:rsid w:val="00864168"/>
    <w:rsid w:val="00864408"/>
    <w:rsid w:val="00864AB2"/>
    <w:rsid w:val="00864CCA"/>
    <w:rsid w:val="00865216"/>
    <w:rsid w:val="00865D2A"/>
    <w:rsid w:val="0086623E"/>
    <w:rsid w:val="0086718C"/>
    <w:rsid w:val="00867B56"/>
    <w:rsid w:val="00867F92"/>
    <w:rsid w:val="00870B90"/>
    <w:rsid w:val="008712B4"/>
    <w:rsid w:val="008716C3"/>
    <w:rsid w:val="0087237A"/>
    <w:rsid w:val="00872CCC"/>
    <w:rsid w:val="00873D5D"/>
    <w:rsid w:val="00873D7F"/>
    <w:rsid w:val="00874E6C"/>
    <w:rsid w:val="00875C76"/>
    <w:rsid w:val="008806D7"/>
    <w:rsid w:val="00881669"/>
    <w:rsid w:val="00881B26"/>
    <w:rsid w:val="00883547"/>
    <w:rsid w:val="00883C4E"/>
    <w:rsid w:val="00885558"/>
    <w:rsid w:val="0088568A"/>
    <w:rsid w:val="008869AC"/>
    <w:rsid w:val="00886E1C"/>
    <w:rsid w:val="00890567"/>
    <w:rsid w:val="0089082B"/>
    <w:rsid w:val="00890DE3"/>
    <w:rsid w:val="00890EF3"/>
    <w:rsid w:val="00891A17"/>
    <w:rsid w:val="00892CC6"/>
    <w:rsid w:val="00892E4F"/>
    <w:rsid w:val="008935CA"/>
    <w:rsid w:val="00893B50"/>
    <w:rsid w:val="00895FAD"/>
    <w:rsid w:val="00896479"/>
    <w:rsid w:val="008965C5"/>
    <w:rsid w:val="00896C43"/>
    <w:rsid w:val="008972DA"/>
    <w:rsid w:val="0089747A"/>
    <w:rsid w:val="00897657"/>
    <w:rsid w:val="008A0769"/>
    <w:rsid w:val="008A0E84"/>
    <w:rsid w:val="008A0FB1"/>
    <w:rsid w:val="008A12B7"/>
    <w:rsid w:val="008A23A5"/>
    <w:rsid w:val="008A2FE6"/>
    <w:rsid w:val="008A33F9"/>
    <w:rsid w:val="008A3D31"/>
    <w:rsid w:val="008A49B8"/>
    <w:rsid w:val="008A5240"/>
    <w:rsid w:val="008A7285"/>
    <w:rsid w:val="008A7A26"/>
    <w:rsid w:val="008B15F4"/>
    <w:rsid w:val="008B1F05"/>
    <w:rsid w:val="008B2D79"/>
    <w:rsid w:val="008B3A79"/>
    <w:rsid w:val="008B46B4"/>
    <w:rsid w:val="008B48B7"/>
    <w:rsid w:val="008B5496"/>
    <w:rsid w:val="008B5C20"/>
    <w:rsid w:val="008B6102"/>
    <w:rsid w:val="008B6533"/>
    <w:rsid w:val="008B67CA"/>
    <w:rsid w:val="008B6A43"/>
    <w:rsid w:val="008B73E1"/>
    <w:rsid w:val="008B76A6"/>
    <w:rsid w:val="008B7CFA"/>
    <w:rsid w:val="008C1268"/>
    <w:rsid w:val="008C15B8"/>
    <w:rsid w:val="008C27BC"/>
    <w:rsid w:val="008C2A7A"/>
    <w:rsid w:val="008C3F8E"/>
    <w:rsid w:val="008C43C4"/>
    <w:rsid w:val="008C4F07"/>
    <w:rsid w:val="008C58B8"/>
    <w:rsid w:val="008C5EA1"/>
    <w:rsid w:val="008C6021"/>
    <w:rsid w:val="008C60D7"/>
    <w:rsid w:val="008C646C"/>
    <w:rsid w:val="008C67AF"/>
    <w:rsid w:val="008C7CEE"/>
    <w:rsid w:val="008D0101"/>
    <w:rsid w:val="008D050D"/>
    <w:rsid w:val="008D0FFE"/>
    <w:rsid w:val="008D1840"/>
    <w:rsid w:val="008D2803"/>
    <w:rsid w:val="008D3682"/>
    <w:rsid w:val="008D505D"/>
    <w:rsid w:val="008D52F5"/>
    <w:rsid w:val="008D5D2B"/>
    <w:rsid w:val="008D6C9D"/>
    <w:rsid w:val="008D7FDF"/>
    <w:rsid w:val="008E073A"/>
    <w:rsid w:val="008E19A6"/>
    <w:rsid w:val="008E22A0"/>
    <w:rsid w:val="008E2302"/>
    <w:rsid w:val="008E24EB"/>
    <w:rsid w:val="008E30A6"/>
    <w:rsid w:val="008E3EC6"/>
    <w:rsid w:val="008E477F"/>
    <w:rsid w:val="008E54F8"/>
    <w:rsid w:val="008E59E7"/>
    <w:rsid w:val="008E5CD4"/>
    <w:rsid w:val="008E5FFE"/>
    <w:rsid w:val="008E7232"/>
    <w:rsid w:val="008E75AF"/>
    <w:rsid w:val="008E7C0F"/>
    <w:rsid w:val="008F0B8D"/>
    <w:rsid w:val="008F121D"/>
    <w:rsid w:val="008F1F21"/>
    <w:rsid w:val="008F27F7"/>
    <w:rsid w:val="008F33AF"/>
    <w:rsid w:val="008F4195"/>
    <w:rsid w:val="008F41EC"/>
    <w:rsid w:val="008F4BD2"/>
    <w:rsid w:val="008F5467"/>
    <w:rsid w:val="008F5D5A"/>
    <w:rsid w:val="008F71D0"/>
    <w:rsid w:val="009004A6"/>
    <w:rsid w:val="00900FB3"/>
    <w:rsid w:val="00902942"/>
    <w:rsid w:val="009034D6"/>
    <w:rsid w:val="00904BBA"/>
    <w:rsid w:val="00904FC6"/>
    <w:rsid w:val="009052A7"/>
    <w:rsid w:val="00905FF6"/>
    <w:rsid w:val="0090679B"/>
    <w:rsid w:val="00906B26"/>
    <w:rsid w:val="00910182"/>
    <w:rsid w:val="00910F97"/>
    <w:rsid w:val="00911229"/>
    <w:rsid w:val="00912EE9"/>
    <w:rsid w:val="00913167"/>
    <w:rsid w:val="009142BE"/>
    <w:rsid w:val="00914629"/>
    <w:rsid w:val="00914771"/>
    <w:rsid w:val="0091500F"/>
    <w:rsid w:val="0091534C"/>
    <w:rsid w:val="00915D97"/>
    <w:rsid w:val="00915E90"/>
    <w:rsid w:val="00916CD4"/>
    <w:rsid w:val="00916DBF"/>
    <w:rsid w:val="009179DC"/>
    <w:rsid w:val="00917BA7"/>
    <w:rsid w:val="00920D6A"/>
    <w:rsid w:val="00921D3C"/>
    <w:rsid w:val="00922B72"/>
    <w:rsid w:val="00922E95"/>
    <w:rsid w:val="00923130"/>
    <w:rsid w:val="00923605"/>
    <w:rsid w:val="009241D4"/>
    <w:rsid w:val="0092520C"/>
    <w:rsid w:val="0092631F"/>
    <w:rsid w:val="00926E3D"/>
    <w:rsid w:val="00927C3C"/>
    <w:rsid w:val="0093013E"/>
    <w:rsid w:val="0093088D"/>
    <w:rsid w:val="00930DAF"/>
    <w:rsid w:val="00931FEA"/>
    <w:rsid w:val="00932000"/>
    <w:rsid w:val="00932130"/>
    <w:rsid w:val="00932989"/>
    <w:rsid w:val="00933440"/>
    <w:rsid w:val="00933E83"/>
    <w:rsid w:val="009357D4"/>
    <w:rsid w:val="0093619D"/>
    <w:rsid w:val="009365CB"/>
    <w:rsid w:val="00936D3E"/>
    <w:rsid w:val="00937F05"/>
    <w:rsid w:val="00942307"/>
    <w:rsid w:val="00942894"/>
    <w:rsid w:val="00942C4D"/>
    <w:rsid w:val="00943077"/>
    <w:rsid w:val="00943391"/>
    <w:rsid w:val="0094354D"/>
    <w:rsid w:val="00943C94"/>
    <w:rsid w:val="00943E85"/>
    <w:rsid w:val="00944313"/>
    <w:rsid w:val="009452AB"/>
    <w:rsid w:val="00946F99"/>
    <w:rsid w:val="009473AA"/>
    <w:rsid w:val="00947CD3"/>
    <w:rsid w:val="00950D89"/>
    <w:rsid w:val="00952254"/>
    <w:rsid w:val="009522FA"/>
    <w:rsid w:val="009523A9"/>
    <w:rsid w:val="0095271A"/>
    <w:rsid w:val="009532CD"/>
    <w:rsid w:val="009537E1"/>
    <w:rsid w:val="00955F95"/>
    <w:rsid w:val="00956370"/>
    <w:rsid w:val="00956ECB"/>
    <w:rsid w:val="0095721C"/>
    <w:rsid w:val="0095727C"/>
    <w:rsid w:val="009576D2"/>
    <w:rsid w:val="00960687"/>
    <w:rsid w:val="00961042"/>
    <w:rsid w:val="00961117"/>
    <w:rsid w:val="009615AF"/>
    <w:rsid w:val="0096242F"/>
    <w:rsid w:val="009631FD"/>
    <w:rsid w:val="0096550C"/>
    <w:rsid w:val="00965E37"/>
    <w:rsid w:val="009668D1"/>
    <w:rsid w:val="00966BEA"/>
    <w:rsid w:val="00966EA8"/>
    <w:rsid w:val="00966F14"/>
    <w:rsid w:val="00967503"/>
    <w:rsid w:val="00967F36"/>
    <w:rsid w:val="00967FE1"/>
    <w:rsid w:val="009701F2"/>
    <w:rsid w:val="009708FB"/>
    <w:rsid w:val="00970A9D"/>
    <w:rsid w:val="00970AD3"/>
    <w:rsid w:val="00971C5C"/>
    <w:rsid w:val="009726CA"/>
    <w:rsid w:val="00973FE2"/>
    <w:rsid w:val="00975561"/>
    <w:rsid w:val="009774BE"/>
    <w:rsid w:val="00977767"/>
    <w:rsid w:val="00980125"/>
    <w:rsid w:val="00980CFB"/>
    <w:rsid w:val="0098131E"/>
    <w:rsid w:val="0098155D"/>
    <w:rsid w:val="00981CB0"/>
    <w:rsid w:val="00984EDA"/>
    <w:rsid w:val="0098535E"/>
    <w:rsid w:val="0098588F"/>
    <w:rsid w:val="009864A0"/>
    <w:rsid w:val="00986798"/>
    <w:rsid w:val="00986A5F"/>
    <w:rsid w:val="00986E1D"/>
    <w:rsid w:val="009875DE"/>
    <w:rsid w:val="00987748"/>
    <w:rsid w:val="00987DFB"/>
    <w:rsid w:val="00987FD0"/>
    <w:rsid w:val="00990A1A"/>
    <w:rsid w:val="00990B79"/>
    <w:rsid w:val="00990D31"/>
    <w:rsid w:val="00991193"/>
    <w:rsid w:val="009917F6"/>
    <w:rsid w:val="009928F4"/>
    <w:rsid w:val="00992E7C"/>
    <w:rsid w:val="00994256"/>
    <w:rsid w:val="009944BE"/>
    <w:rsid w:val="00994B40"/>
    <w:rsid w:val="00994CD3"/>
    <w:rsid w:val="00995319"/>
    <w:rsid w:val="00995335"/>
    <w:rsid w:val="00996021"/>
    <w:rsid w:val="009A010C"/>
    <w:rsid w:val="009A08D9"/>
    <w:rsid w:val="009A0A95"/>
    <w:rsid w:val="009A0FEF"/>
    <w:rsid w:val="009A16D6"/>
    <w:rsid w:val="009A2E96"/>
    <w:rsid w:val="009A487F"/>
    <w:rsid w:val="009A5A53"/>
    <w:rsid w:val="009A63F8"/>
    <w:rsid w:val="009A6C17"/>
    <w:rsid w:val="009A7052"/>
    <w:rsid w:val="009A7C84"/>
    <w:rsid w:val="009A7D6A"/>
    <w:rsid w:val="009A7EB4"/>
    <w:rsid w:val="009B026C"/>
    <w:rsid w:val="009B15D6"/>
    <w:rsid w:val="009B28AA"/>
    <w:rsid w:val="009B38BC"/>
    <w:rsid w:val="009B3F3B"/>
    <w:rsid w:val="009B415E"/>
    <w:rsid w:val="009B5961"/>
    <w:rsid w:val="009B6F4A"/>
    <w:rsid w:val="009C01A7"/>
    <w:rsid w:val="009C050D"/>
    <w:rsid w:val="009C0DEB"/>
    <w:rsid w:val="009C0E79"/>
    <w:rsid w:val="009C0FA1"/>
    <w:rsid w:val="009C19DD"/>
    <w:rsid w:val="009C2264"/>
    <w:rsid w:val="009C22EF"/>
    <w:rsid w:val="009C4093"/>
    <w:rsid w:val="009C45F9"/>
    <w:rsid w:val="009C6608"/>
    <w:rsid w:val="009C682E"/>
    <w:rsid w:val="009C6ED7"/>
    <w:rsid w:val="009D0C85"/>
    <w:rsid w:val="009D1203"/>
    <w:rsid w:val="009D206B"/>
    <w:rsid w:val="009D29BD"/>
    <w:rsid w:val="009D2BD1"/>
    <w:rsid w:val="009D335B"/>
    <w:rsid w:val="009D3619"/>
    <w:rsid w:val="009D5022"/>
    <w:rsid w:val="009D57AE"/>
    <w:rsid w:val="009D5C7E"/>
    <w:rsid w:val="009D6154"/>
    <w:rsid w:val="009D6879"/>
    <w:rsid w:val="009D68E6"/>
    <w:rsid w:val="009D7D73"/>
    <w:rsid w:val="009E0B7F"/>
    <w:rsid w:val="009E276E"/>
    <w:rsid w:val="009E433C"/>
    <w:rsid w:val="009E5D02"/>
    <w:rsid w:val="009E6AD3"/>
    <w:rsid w:val="009E6B6D"/>
    <w:rsid w:val="009E7222"/>
    <w:rsid w:val="009E736A"/>
    <w:rsid w:val="009E7BBE"/>
    <w:rsid w:val="009F0204"/>
    <w:rsid w:val="009F055C"/>
    <w:rsid w:val="009F26D5"/>
    <w:rsid w:val="009F421B"/>
    <w:rsid w:val="009F4BE9"/>
    <w:rsid w:val="009F5607"/>
    <w:rsid w:val="009F6894"/>
    <w:rsid w:val="009F7849"/>
    <w:rsid w:val="009F7A25"/>
    <w:rsid w:val="009F7B1E"/>
    <w:rsid w:val="00A00FD6"/>
    <w:rsid w:val="00A03086"/>
    <w:rsid w:val="00A0364B"/>
    <w:rsid w:val="00A040FF"/>
    <w:rsid w:val="00A05DBB"/>
    <w:rsid w:val="00A06370"/>
    <w:rsid w:val="00A06C9D"/>
    <w:rsid w:val="00A06D1B"/>
    <w:rsid w:val="00A0759E"/>
    <w:rsid w:val="00A112B6"/>
    <w:rsid w:val="00A12088"/>
    <w:rsid w:val="00A12268"/>
    <w:rsid w:val="00A122D9"/>
    <w:rsid w:val="00A12384"/>
    <w:rsid w:val="00A12D46"/>
    <w:rsid w:val="00A12F6C"/>
    <w:rsid w:val="00A13F24"/>
    <w:rsid w:val="00A13FF3"/>
    <w:rsid w:val="00A145DB"/>
    <w:rsid w:val="00A156B1"/>
    <w:rsid w:val="00A156FA"/>
    <w:rsid w:val="00A15F64"/>
    <w:rsid w:val="00A16444"/>
    <w:rsid w:val="00A16990"/>
    <w:rsid w:val="00A16E31"/>
    <w:rsid w:val="00A16E40"/>
    <w:rsid w:val="00A17171"/>
    <w:rsid w:val="00A174FC"/>
    <w:rsid w:val="00A17B17"/>
    <w:rsid w:val="00A21216"/>
    <w:rsid w:val="00A21317"/>
    <w:rsid w:val="00A2229A"/>
    <w:rsid w:val="00A22742"/>
    <w:rsid w:val="00A22CA3"/>
    <w:rsid w:val="00A23629"/>
    <w:rsid w:val="00A25EA3"/>
    <w:rsid w:val="00A30BF9"/>
    <w:rsid w:val="00A30E08"/>
    <w:rsid w:val="00A3206A"/>
    <w:rsid w:val="00A32DA2"/>
    <w:rsid w:val="00A32DEA"/>
    <w:rsid w:val="00A35205"/>
    <w:rsid w:val="00A3574B"/>
    <w:rsid w:val="00A358B6"/>
    <w:rsid w:val="00A361B4"/>
    <w:rsid w:val="00A402D9"/>
    <w:rsid w:val="00A403BD"/>
    <w:rsid w:val="00A40CC3"/>
    <w:rsid w:val="00A418B6"/>
    <w:rsid w:val="00A4398E"/>
    <w:rsid w:val="00A4581C"/>
    <w:rsid w:val="00A45A5F"/>
    <w:rsid w:val="00A45F20"/>
    <w:rsid w:val="00A467BD"/>
    <w:rsid w:val="00A50149"/>
    <w:rsid w:val="00A501B5"/>
    <w:rsid w:val="00A5121E"/>
    <w:rsid w:val="00A5195E"/>
    <w:rsid w:val="00A51AC2"/>
    <w:rsid w:val="00A53782"/>
    <w:rsid w:val="00A5499D"/>
    <w:rsid w:val="00A54E8E"/>
    <w:rsid w:val="00A54F0A"/>
    <w:rsid w:val="00A54FF7"/>
    <w:rsid w:val="00A559F2"/>
    <w:rsid w:val="00A573DE"/>
    <w:rsid w:val="00A57AF7"/>
    <w:rsid w:val="00A60374"/>
    <w:rsid w:val="00A6078F"/>
    <w:rsid w:val="00A60905"/>
    <w:rsid w:val="00A60E59"/>
    <w:rsid w:val="00A61174"/>
    <w:rsid w:val="00A61944"/>
    <w:rsid w:val="00A61BF3"/>
    <w:rsid w:val="00A6235D"/>
    <w:rsid w:val="00A63BA6"/>
    <w:rsid w:val="00A649C2"/>
    <w:rsid w:val="00A64AC2"/>
    <w:rsid w:val="00A64C7C"/>
    <w:rsid w:val="00A65672"/>
    <w:rsid w:val="00A65A8A"/>
    <w:rsid w:val="00A65DFB"/>
    <w:rsid w:val="00A6627C"/>
    <w:rsid w:val="00A662DD"/>
    <w:rsid w:val="00A66400"/>
    <w:rsid w:val="00A66627"/>
    <w:rsid w:val="00A666D6"/>
    <w:rsid w:val="00A66F6A"/>
    <w:rsid w:val="00A67C1E"/>
    <w:rsid w:val="00A70257"/>
    <w:rsid w:val="00A703D6"/>
    <w:rsid w:val="00A7095C"/>
    <w:rsid w:val="00A70ABF"/>
    <w:rsid w:val="00A71EFD"/>
    <w:rsid w:val="00A72063"/>
    <w:rsid w:val="00A7258C"/>
    <w:rsid w:val="00A73985"/>
    <w:rsid w:val="00A73A9C"/>
    <w:rsid w:val="00A74B2C"/>
    <w:rsid w:val="00A74BC3"/>
    <w:rsid w:val="00A75155"/>
    <w:rsid w:val="00A7591D"/>
    <w:rsid w:val="00A76F84"/>
    <w:rsid w:val="00A77522"/>
    <w:rsid w:val="00A77677"/>
    <w:rsid w:val="00A77D10"/>
    <w:rsid w:val="00A81FE6"/>
    <w:rsid w:val="00A82015"/>
    <w:rsid w:val="00A820F8"/>
    <w:rsid w:val="00A82AD5"/>
    <w:rsid w:val="00A82DA0"/>
    <w:rsid w:val="00A840DD"/>
    <w:rsid w:val="00A840F2"/>
    <w:rsid w:val="00A87366"/>
    <w:rsid w:val="00A916FB"/>
    <w:rsid w:val="00A917B4"/>
    <w:rsid w:val="00A92376"/>
    <w:rsid w:val="00A92D76"/>
    <w:rsid w:val="00A93561"/>
    <w:rsid w:val="00A93A42"/>
    <w:rsid w:val="00A953EB"/>
    <w:rsid w:val="00A95FEF"/>
    <w:rsid w:val="00A96194"/>
    <w:rsid w:val="00AA0A6A"/>
    <w:rsid w:val="00AA0F2D"/>
    <w:rsid w:val="00AA109F"/>
    <w:rsid w:val="00AA184C"/>
    <w:rsid w:val="00AA21D3"/>
    <w:rsid w:val="00AA24F0"/>
    <w:rsid w:val="00AA2509"/>
    <w:rsid w:val="00AA49BB"/>
    <w:rsid w:val="00AA4A50"/>
    <w:rsid w:val="00AA586F"/>
    <w:rsid w:val="00AA58AF"/>
    <w:rsid w:val="00AA5C07"/>
    <w:rsid w:val="00AB13F6"/>
    <w:rsid w:val="00AB1B45"/>
    <w:rsid w:val="00AB21EF"/>
    <w:rsid w:val="00AB3419"/>
    <w:rsid w:val="00AB3611"/>
    <w:rsid w:val="00AB3DD7"/>
    <w:rsid w:val="00AB444E"/>
    <w:rsid w:val="00AB58D6"/>
    <w:rsid w:val="00AB5AE3"/>
    <w:rsid w:val="00AB6262"/>
    <w:rsid w:val="00AB63E8"/>
    <w:rsid w:val="00AB6CE7"/>
    <w:rsid w:val="00AB7126"/>
    <w:rsid w:val="00AC12E9"/>
    <w:rsid w:val="00AC1818"/>
    <w:rsid w:val="00AC289C"/>
    <w:rsid w:val="00AC4DC8"/>
    <w:rsid w:val="00AC5284"/>
    <w:rsid w:val="00AC530B"/>
    <w:rsid w:val="00AC5CBB"/>
    <w:rsid w:val="00AC60A4"/>
    <w:rsid w:val="00AC654E"/>
    <w:rsid w:val="00AC694D"/>
    <w:rsid w:val="00AC72A8"/>
    <w:rsid w:val="00AD0A36"/>
    <w:rsid w:val="00AD1233"/>
    <w:rsid w:val="00AD24CB"/>
    <w:rsid w:val="00AD2DAC"/>
    <w:rsid w:val="00AD4B70"/>
    <w:rsid w:val="00AD5066"/>
    <w:rsid w:val="00AD5B6F"/>
    <w:rsid w:val="00AD7904"/>
    <w:rsid w:val="00AD7E74"/>
    <w:rsid w:val="00AE03A4"/>
    <w:rsid w:val="00AE04BC"/>
    <w:rsid w:val="00AE1087"/>
    <w:rsid w:val="00AE17CC"/>
    <w:rsid w:val="00AE2EB5"/>
    <w:rsid w:val="00AE30AC"/>
    <w:rsid w:val="00AE3117"/>
    <w:rsid w:val="00AE3CC9"/>
    <w:rsid w:val="00AE50D2"/>
    <w:rsid w:val="00AE56C9"/>
    <w:rsid w:val="00AE59B8"/>
    <w:rsid w:val="00AE5D64"/>
    <w:rsid w:val="00AF0250"/>
    <w:rsid w:val="00AF0983"/>
    <w:rsid w:val="00AF0A9B"/>
    <w:rsid w:val="00AF1B58"/>
    <w:rsid w:val="00AF1DAA"/>
    <w:rsid w:val="00AF2F51"/>
    <w:rsid w:val="00AF485F"/>
    <w:rsid w:val="00AF4D11"/>
    <w:rsid w:val="00AF517C"/>
    <w:rsid w:val="00AF59DA"/>
    <w:rsid w:val="00AF7A90"/>
    <w:rsid w:val="00B020BB"/>
    <w:rsid w:val="00B028BE"/>
    <w:rsid w:val="00B034A4"/>
    <w:rsid w:val="00B0449F"/>
    <w:rsid w:val="00B04687"/>
    <w:rsid w:val="00B0595B"/>
    <w:rsid w:val="00B05AC8"/>
    <w:rsid w:val="00B06B32"/>
    <w:rsid w:val="00B106A8"/>
    <w:rsid w:val="00B10B46"/>
    <w:rsid w:val="00B11DBA"/>
    <w:rsid w:val="00B13217"/>
    <w:rsid w:val="00B13490"/>
    <w:rsid w:val="00B14418"/>
    <w:rsid w:val="00B144EB"/>
    <w:rsid w:val="00B14B8E"/>
    <w:rsid w:val="00B14E5F"/>
    <w:rsid w:val="00B15FC8"/>
    <w:rsid w:val="00B17F25"/>
    <w:rsid w:val="00B2030D"/>
    <w:rsid w:val="00B2093C"/>
    <w:rsid w:val="00B216F1"/>
    <w:rsid w:val="00B22DA8"/>
    <w:rsid w:val="00B2341E"/>
    <w:rsid w:val="00B2527A"/>
    <w:rsid w:val="00B25A77"/>
    <w:rsid w:val="00B26B2E"/>
    <w:rsid w:val="00B26B8D"/>
    <w:rsid w:val="00B27DD3"/>
    <w:rsid w:val="00B30100"/>
    <w:rsid w:val="00B31231"/>
    <w:rsid w:val="00B31347"/>
    <w:rsid w:val="00B3203F"/>
    <w:rsid w:val="00B32323"/>
    <w:rsid w:val="00B33066"/>
    <w:rsid w:val="00B3410F"/>
    <w:rsid w:val="00B34525"/>
    <w:rsid w:val="00B34887"/>
    <w:rsid w:val="00B36A63"/>
    <w:rsid w:val="00B3747A"/>
    <w:rsid w:val="00B37888"/>
    <w:rsid w:val="00B400FB"/>
    <w:rsid w:val="00B40770"/>
    <w:rsid w:val="00B409DC"/>
    <w:rsid w:val="00B40D44"/>
    <w:rsid w:val="00B41E7E"/>
    <w:rsid w:val="00B42652"/>
    <w:rsid w:val="00B42A69"/>
    <w:rsid w:val="00B42FE5"/>
    <w:rsid w:val="00B43305"/>
    <w:rsid w:val="00B45443"/>
    <w:rsid w:val="00B45820"/>
    <w:rsid w:val="00B47173"/>
    <w:rsid w:val="00B47362"/>
    <w:rsid w:val="00B5033E"/>
    <w:rsid w:val="00B5039D"/>
    <w:rsid w:val="00B51EC3"/>
    <w:rsid w:val="00B52532"/>
    <w:rsid w:val="00B533A1"/>
    <w:rsid w:val="00B539D0"/>
    <w:rsid w:val="00B53A4F"/>
    <w:rsid w:val="00B53B37"/>
    <w:rsid w:val="00B53C8C"/>
    <w:rsid w:val="00B548A0"/>
    <w:rsid w:val="00B56384"/>
    <w:rsid w:val="00B60A7D"/>
    <w:rsid w:val="00B61CE4"/>
    <w:rsid w:val="00B629BE"/>
    <w:rsid w:val="00B6344B"/>
    <w:rsid w:val="00B63617"/>
    <w:rsid w:val="00B636AF"/>
    <w:rsid w:val="00B636F6"/>
    <w:rsid w:val="00B65960"/>
    <w:rsid w:val="00B66323"/>
    <w:rsid w:val="00B66BC9"/>
    <w:rsid w:val="00B67268"/>
    <w:rsid w:val="00B70C38"/>
    <w:rsid w:val="00B70CC5"/>
    <w:rsid w:val="00B7354A"/>
    <w:rsid w:val="00B752E6"/>
    <w:rsid w:val="00B76AE4"/>
    <w:rsid w:val="00B76D07"/>
    <w:rsid w:val="00B770B8"/>
    <w:rsid w:val="00B77BED"/>
    <w:rsid w:val="00B80252"/>
    <w:rsid w:val="00B80F21"/>
    <w:rsid w:val="00B8160F"/>
    <w:rsid w:val="00B824A8"/>
    <w:rsid w:val="00B82C6B"/>
    <w:rsid w:val="00B8314A"/>
    <w:rsid w:val="00B8372F"/>
    <w:rsid w:val="00B83A9D"/>
    <w:rsid w:val="00B83FA1"/>
    <w:rsid w:val="00B856B9"/>
    <w:rsid w:val="00B8577B"/>
    <w:rsid w:val="00B86BF0"/>
    <w:rsid w:val="00B870CA"/>
    <w:rsid w:val="00B90093"/>
    <w:rsid w:val="00B91200"/>
    <w:rsid w:val="00B918CF"/>
    <w:rsid w:val="00B9245D"/>
    <w:rsid w:val="00B938FB"/>
    <w:rsid w:val="00B9464B"/>
    <w:rsid w:val="00B95339"/>
    <w:rsid w:val="00B957B5"/>
    <w:rsid w:val="00B96CC4"/>
    <w:rsid w:val="00B96D06"/>
    <w:rsid w:val="00BA1C70"/>
    <w:rsid w:val="00BA2FA2"/>
    <w:rsid w:val="00BA300C"/>
    <w:rsid w:val="00BA35B7"/>
    <w:rsid w:val="00BA48FB"/>
    <w:rsid w:val="00BA4F17"/>
    <w:rsid w:val="00BA5C1A"/>
    <w:rsid w:val="00BA73A7"/>
    <w:rsid w:val="00BB0486"/>
    <w:rsid w:val="00BB0BB1"/>
    <w:rsid w:val="00BB1123"/>
    <w:rsid w:val="00BB1428"/>
    <w:rsid w:val="00BB1804"/>
    <w:rsid w:val="00BB2031"/>
    <w:rsid w:val="00BB260A"/>
    <w:rsid w:val="00BB263D"/>
    <w:rsid w:val="00BB2C4D"/>
    <w:rsid w:val="00BB2EF3"/>
    <w:rsid w:val="00BB331A"/>
    <w:rsid w:val="00BB3428"/>
    <w:rsid w:val="00BB4A82"/>
    <w:rsid w:val="00BB4D9A"/>
    <w:rsid w:val="00BB580B"/>
    <w:rsid w:val="00BB65E5"/>
    <w:rsid w:val="00BC0B1C"/>
    <w:rsid w:val="00BC1661"/>
    <w:rsid w:val="00BC2133"/>
    <w:rsid w:val="00BC26AE"/>
    <w:rsid w:val="00BC2700"/>
    <w:rsid w:val="00BC30D3"/>
    <w:rsid w:val="00BC32B9"/>
    <w:rsid w:val="00BC384F"/>
    <w:rsid w:val="00BC41A1"/>
    <w:rsid w:val="00BC46B4"/>
    <w:rsid w:val="00BC4A98"/>
    <w:rsid w:val="00BC535F"/>
    <w:rsid w:val="00BC582F"/>
    <w:rsid w:val="00BC5854"/>
    <w:rsid w:val="00BC6D7F"/>
    <w:rsid w:val="00BC6DCB"/>
    <w:rsid w:val="00BD02A7"/>
    <w:rsid w:val="00BD056E"/>
    <w:rsid w:val="00BD1560"/>
    <w:rsid w:val="00BD17F1"/>
    <w:rsid w:val="00BD2D63"/>
    <w:rsid w:val="00BD3509"/>
    <w:rsid w:val="00BD3C1C"/>
    <w:rsid w:val="00BD460E"/>
    <w:rsid w:val="00BD6726"/>
    <w:rsid w:val="00BD6BE4"/>
    <w:rsid w:val="00BD6FAC"/>
    <w:rsid w:val="00BE03C1"/>
    <w:rsid w:val="00BE0A6B"/>
    <w:rsid w:val="00BE1271"/>
    <w:rsid w:val="00BE1816"/>
    <w:rsid w:val="00BE1FD8"/>
    <w:rsid w:val="00BE29E9"/>
    <w:rsid w:val="00BE2A02"/>
    <w:rsid w:val="00BE2F7E"/>
    <w:rsid w:val="00BE408D"/>
    <w:rsid w:val="00BE53F2"/>
    <w:rsid w:val="00BE5640"/>
    <w:rsid w:val="00BE59D8"/>
    <w:rsid w:val="00BE5AF7"/>
    <w:rsid w:val="00BE5AFF"/>
    <w:rsid w:val="00BE68F2"/>
    <w:rsid w:val="00BE71B9"/>
    <w:rsid w:val="00BE7B7F"/>
    <w:rsid w:val="00BF08FE"/>
    <w:rsid w:val="00BF0E7C"/>
    <w:rsid w:val="00BF147C"/>
    <w:rsid w:val="00BF1655"/>
    <w:rsid w:val="00BF1843"/>
    <w:rsid w:val="00BF1D50"/>
    <w:rsid w:val="00BF1E22"/>
    <w:rsid w:val="00BF225A"/>
    <w:rsid w:val="00BF267E"/>
    <w:rsid w:val="00BF317C"/>
    <w:rsid w:val="00BF36F7"/>
    <w:rsid w:val="00BF38C1"/>
    <w:rsid w:val="00BF3CFD"/>
    <w:rsid w:val="00BF3FE8"/>
    <w:rsid w:val="00BF4514"/>
    <w:rsid w:val="00BF4ADC"/>
    <w:rsid w:val="00BF5370"/>
    <w:rsid w:val="00BF61AE"/>
    <w:rsid w:val="00BF6672"/>
    <w:rsid w:val="00BF6B44"/>
    <w:rsid w:val="00BF6C65"/>
    <w:rsid w:val="00BF7D11"/>
    <w:rsid w:val="00C01D1E"/>
    <w:rsid w:val="00C01E92"/>
    <w:rsid w:val="00C021AE"/>
    <w:rsid w:val="00C026FF"/>
    <w:rsid w:val="00C03412"/>
    <w:rsid w:val="00C0419F"/>
    <w:rsid w:val="00C052F5"/>
    <w:rsid w:val="00C05874"/>
    <w:rsid w:val="00C075E6"/>
    <w:rsid w:val="00C076D5"/>
    <w:rsid w:val="00C079C4"/>
    <w:rsid w:val="00C07CDC"/>
    <w:rsid w:val="00C07FCA"/>
    <w:rsid w:val="00C10801"/>
    <w:rsid w:val="00C109DB"/>
    <w:rsid w:val="00C10B9B"/>
    <w:rsid w:val="00C110E5"/>
    <w:rsid w:val="00C117C9"/>
    <w:rsid w:val="00C120BA"/>
    <w:rsid w:val="00C14B84"/>
    <w:rsid w:val="00C14F97"/>
    <w:rsid w:val="00C16EA6"/>
    <w:rsid w:val="00C17789"/>
    <w:rsid w:val="00C203A8"/>
    <w:rsid w:val="00C21505"/>
    <w:rsid w:val="00C21DC1"/>
    <w:rsid w:val="00C220A8"/>
    <w:rsid w:val="00C220F7"/>
    <w:rsid w:val="00C22822"/>
    <w:rsid w:val="00C22890"/>
    <w:rsid w:val="00C22AC0"/>
    <w:rsid w:val="00C239A7"/>
    <w:rsid w:val="00C25DF6"/>
    <w:rsid w:val="00C2602A"/>
    <w:rsid w:val="00C26DC1"/>
    <w:rsid w:val="00C27217"/>
    <w:rsid w:val="00C27CB0"/>
    <w:rsid w:val="00C300AB"/>
    <w:rsid w:val="00C3066A"/>
    <w:rsid w:val="00C30948"/>
    <w:rsid w:val="00C30BE2"/>
    <w:rsid w:val="00C31CD2"/>
    <w:rsid w:val="00C31F88"/>
    <w:rsid w:val="00C31FBB"/>
    <w:rsid w:val="00C321AD"/>
    <w:rsid w:val="00C322E0"/>
    <w:rsid w:val="00C323F1"/>
    <w:rsid w:val="00C32A7A"/>
    <w:rsid w:val="00C33A56"/>
    <w:rsid w:val="00C33BFB"/>
    <w:rsid w:val="00C34063"/>
    <w:rsid w:val="00C343ED"/>
    <w:rsid w:val="00C34954"/>
    <w:rsid w:val="00C34E78"/>
    <w:rsid w:val="00C361A6"/>
    <w:rsid w:val="00C366B6"/>
    <w:rsid w:val="00C40222"/>
    <w:rsid w:val="00C42747"/>
    <w:rsid w:val="00C427D6"/>
    <w:rsid w:val="00C427EC"/>
    <w:rsid w:val="00C42D60"/>
    <w:rsid w:val="00C442EC"/>
    <w:rsid w:val="00C444E9"/>
    <w:rsid w:val="00C44556"/>
    <w:rsid w:val="00C4489F"/>
    <w:rsid w:val="00C45091"/>
    <w:rsid w:val="00C4555D"/>
    <w:rsid w:val="00C45786"/>
    <w:rsid w:val="00C45EE4"/>
    <w:rsid w:val="00C46C15"/>
    <w:rsid w:val="00C46FAD"/>
    <w:rsid w:val="00C47C77"/>
    <w:rsid w:val="00C5053C"/>
    <w:rsid w:val="00C5087E"/>
    <w:rsid w:val="00C50D1F"/>
    <w:rsid w:val="00C51200"/>
    <w:rsid w:val="00C513F0"/>
    <w:rsid w:val="00C51DF5"/>
    <w:rsid w:val="00C5268B"/>
    <w:rsid w:val="00C528C4"/>
    <w:rsid w:val="00C52CC9"/>
    <w:rsid w:val="00C52D8E"/>
    <w:rsid w:val="00C537F9"/>
    <w:rsid w:val="00C55B99"/>
    <w:rsid w:val="00C560B9"/>
    <w:rsid w:val="00C56CE3"/>
    <w:rsid w:val="00C5717B"/>
    <w:rsid w:val="00C571BF"/>
    <w:rsid w:val="00C57928"/>
    <w:rsid w:val="00C57CA4"/>
    <w:rsid w:val="00C60B54"/>
    <w:rsid w:val="00C60C93"/>
    <w:rsid w:val="00C60D26"/>
    <w:rsid w:val="00C60EA3"/>
    <w:rsid w:val="00C61FD9"/>
    <w:rsid w:val="00C638FE"/>
    <w:rsid w:val="00C6397D"/>
    <w:rsid w:val="00C6462A"/>
    <w:rsid w:val="00C64674"/>
    <w:rsid w:val="00C64791"/>
    <w:rsid w:val="00C65157"/>
    <w:rsid w:val="00C6567A"/>
    <w:rsid w:val="00C6624E"/>
    <w:rsid w:val="00C66C43"/>
    <w:rsid w:val="00C70C9D"/>
    <w:rsid w:val="00C7127E"/>
    <w:rsid w:val="00C71C7F"/>
    <w:rsid w:val="00C720E2"/>
    <w:rsid w:val="00C74052"/>
    <w:rsid w:val="00C744D1"/>
    <w:rsid w:val="00C754A9"/>
    <w:rsid w:val="00C758D9"/>
    <w:rsid w:val="00C76432"/>
    <w:rsid w:val="00C76563"/>
    <w:rsid w:val="00C76B61"/>
    <w:rsid w:val="00C76E51"/>
    <w:rsid w:val="00C773F7"/>
    <w:rsid w:val="00C77F06"/>
    <w:rsid w:val="00C800EF"/>
    <w:rsid w:val="00C80A8F"/>
    <w:rsid w:val="00C80C24"/>
    <w:rsid w:val="00C81EF1"/>
    <w:rsid w:val="00C83054"/>
    <w:rsid w:val="00C830BB"/>
    <w:rsid w:val="00C83EBD"/>
    <w:rsid w:val="00C84ABE"/>
    <w:rsid w:val="00C85EA1"/>
    <w:rsid w:val="00C86519"/>
    <w:rsid w:val="00C878E8"/>
    <w:rsid w:val="00C87B31"/>
    <w:rsid w:val="00C90E12"/>
    <w:rsid w:val="00C917BF"/>
    <w:rsid w:val="00C925CF"/>
    <w:rsid w:val="00C93ADE"/>
    <w:rsid w:val="00C940E0"/>
    <w:rsid w:val="00C9434B"/>
    <w:rsid w:val="00C94D06"/>
    <w:rsid w:val="00C94E58"/>
    <w:rsid w:val="00C94EC4"/>
    <w:rsid w:val="00C95D79"/>
    <w:rsid w:val="00C96034"/>
    <w:rsid w:val="00C96E12"/>
    <w:rsid w:val="00C971ED"/>
    <w:rsid w:val="00C97A1B"/>
    <w:rsid w:val="00CA182B"/>
    <w:rsid w:val="00CA2988"/>
    <w:rsid w:val="00CA3264"/>
    <w:rsid w:val="00CA502F"/>
    <w:rsid w:val="00CA5F60"/>
    <w:rsid w:val="00CA6539"/>
    <w:rsid w:val="00CA6C83"/>
    <w:rsid w:val="00CA6F77"/>
    <w:rsid w:val="00CA7272"/>
    <w:rsid w:val="00CA799E"/>
    <w:rsid w:val="00CA7E18"/>
    <w:rsid w:val="00CB038B"/>
    <w:rsid w:val="00CB03EA"/>
    <w:rsid w:val="00CB0859"/>
    <w:rsid w:val="00CB0AA5"/>
    <w:rsid w:val="00CB0E03"/>
    <w:rsid w:val="00CB0E3C"/>
    <w:rsid w:val="00CB1865"/>
    <w:rsid w:val="00CB1B9F"/>
    <w:rsid w:val="00CB23A0"/>
    <w:rsid w:val="00CB2420"/>
    <w:rsid w:val="00CB4267"/>
    <w:rsid w:val="00CB4CEB"/>
    <w:rsid w:val="00CB78B3"/>
    <w:rsid w:val="00CB7937"/>
    <w:rsid w:val="00CC00FD"/>
    <w:rsid w:val="00CC07BB"/>
    <w:rsid w:val="00CC0CF3"/>
    <w:rsid w:val="00CC13B0"/>
    <w:rsid w:val="00CC2B10"/>
    <w:rsid w:val="00CC3146"/>
    <w:rsid w:val="00CC359C"/>
    <w:rsid w:val="00CC3F04"/>
    <w:rsid w:val="00CC5087"/>
    <w:rsid w:val="00CC5BA4"/>
    <w:rsid w:val="00CC7A6F"/>
    <w:rsid w:val="00CC7E14"/>
    <w:rsid w:val="00CD53AB"/>
    <w:rsid w:val="00CD6072"/>
    <w:rsid w:val="00CE004B"/>
    <w:rsid w:val="00CE0CFF"/>
    <w:rsid w:val="00CE1183"/>
    <w:rsid w:val="00CE151A"/>
    <w:rsid w:val="00CE173E"/>
    <w:rsid w:val="00CE253A"/>
    <w:rsid w:val="00CE2E15"/>
    <w:rsid w:val="00CE31A0"/>
    <w:rsid w:val="00CE4E62"/>
    <w:rsid w:val="00CE5472"/>
    <w:rsid w:val="00CE5F69"/>
    <w:rsid w:val="00CE6206"/>
    <w:rsid w:val="00CE63AA"/>
    <w:rsid w:val="00CE747D"/>
    <w:rsid w:val="00CE75A4"/>
    <w:rsid w:val="00CF01AD"/>
    <w:rsid w:val="00CF114A"/>
    <w:rsid w:val="00CF1788"/>
    <w:rsid w:val="00CF3127"/>
    <w:rsid w:val="00CF51AC"/>
    <w:rsid w:val="00CF521E"/>
    <w:rsid w:val="00CF633B"/>
    <w:rsid w:val="00CF6396"/>
    <w:rsid w:val="00CF71D9"/>
    <w:rsid w:val="00CF735A"/>
    <w:rsid w:val="00CF7A9E"/>
    <w:rsid w:val="00D00648"/>
    <w:rsid w:val="00D01245"/>
    <w:rsid w:val="00D02A0E"/>
    <w:rsid w:val="00D03867"/>
    <w:rsid w:val="00D0414B"/>
    <w:rsid w:val="00D04626"/>
    <w:rsid w:val="00D04ED1"/>
    <w:rsid w:val="00D0520A"/>
    <w:rsid w:val="00D058E2"/>
    <w:rsid w:val="00D0623A"/>
    <w:rsid w:val="00D06502"/>
    <w:rsid w:val="00D07497"/>
    <w:rsid w:val="00D07A1D"/>
    <w:rsid w:val="00D101FA"/>
    <w:rsid w:val="00D12458"/>
    <w:rsid w:val="00D13A0C"/>
    <w:rsid w:val="00D14DCF"/>
    <w:rsid w:val="00D15584"/>
    <w:rsid w:val="00D15EE3"/>
    <w:rsid w:val="00D1605E"/>
    <w:rsid w:val="00D16094"/>
    <w:rsid w:val="00D16A76"/>
    <w:rsid w:val="00D17731"/>
    <w:rsid w:val="00D17EC3"/>
    <w:rsid w:val="00D20E82"/>
    <w:rsid w:val="00D2141F"/>
    <w:rsid w:val="00D226E0"/>
    <w:rsid w:val="00D22A72"/>
    <w:rsid w:val="00D22FC9"/>
    <w:rsid w:val="00D2333B"/>
    <w:rsid w:val="00D23DFF"/>
    <w:rsid w:val="00D253E9"/>
    <w:rsid w:val="00D26709"/>
    <w:rsid w:val="00D26E54"/>
    <w:rsid w:val="00D2775B"/>
    <w:rsid w:val="00D30341"/>
    <w:rsid w:val="00D309D2"/>
    <w:rsid w:val="00D313C4"/>
    <w:rsid w:val="00D3186A"/>
    <w:rsid w:val="00D31B4D"/>
    <w:rsid w:val="00D32D07"/>
    <w:rsid w:val="00D34C96"/>
    <w:rsid w:val="00D350EA"/>
    <w:rsid w:val="00D3667A"/>
    <w:rsid w:val="00D369C1"/>
    <w:rsid w:val="00D36E77"/>
    <w:rsid w:val="00D37188"/>
    <w:rsid w:val="00D37B6E"/>
    <w:rsid w:val="00D40076"/>
    <w:rsid w:val="00D40D66"/>
    <w:rsid w:val="00D40E97"/>
    <w:rsid w:val="00D40FEF"/>
    <w:rsid w:val="00D43508"/>
    <w:rsid w:val="00D43A74"/>
    <w:rsid w:val="00D43C88"/>
    <w:rsid w:val="00D43E67"/>
    <w:rsid w:val="00D443D5"/>
    <w:rsid w:val="00D443E2"/>
    <w:rsid w:val="00D44824"/>
    <w:rsid w:val="00D45084"/>
    <w:rsid w:val="00D4596D"/>
    <w:rsid w:val="00D4604E"/>
    <w:rsid w:val="00D4615B"/>
    <w:rsid w:val="00D467DE"/>
    <w:rsid w:val="00D46A70"/>
    <w:rsid w:val="00D4733F"/>
    <w:rsid w:val="00D47424"/>
    <w:rsid w:val="00D51369"/>
    <w:rsid w:val="00D52D96"/>
    <w:rsid w:val="00D52EC1"/>
    <w:rsid w:val="00D53098"/>
    <w:rsid w:val="00D53133"/>
    <w:rsid w:val="00D53F4C"/>
    <w:rsid w:val="00D552FC"/>
    <w:rsid w:val="00D5658F"/>
    <w:rsid w:val="00D565E9"/>
    <w:rsid w:val="00D567B5"/>
    <w:rsid w:val="00D60C43"/>
    <w:rsid w:val="00D61471"/>
    <w:rsid w:val="00D62527"/>
    <w:rsid w:val="00D6271B"/>
    <w:rsid w:val="00D638D7"/>
    <w:rsid w:val="00D644EE"/>
    <w:rsid w:val="00D6534E"/>
    <w:rsid w:val="00D668E9"/>
    <w:rsid w:val="00D67A90"/>
    <w:rsid w:val="00D70647"/>
    <w:rsid w:val="00D70BA4"/>
    <w:rsid w:val="00D71FF4"/>
    <w:rsid w:val="00D724D7"/>
    <w:rsid w:val="00D7259A"/>
    <w:rsid w:val="00D72D54"/>
    <w:rsid w:val="00D73191"/>
    <w:rsid w:val="00D73529"/>
    <w:rsid w:val="00D7492A"/>
    <w:rsid w:val="00D74997"/>
    <w:rsid w:val="00D750BB"/>
    <w:rsid w:val="00D76DA8"/>
    <w:rsid w:val="00D772F2"/>
    <w:rsid w:val="00D7737F"/>
    <w:rsid w:val="00D775E3"/>
    <w:rsid w:val="00D77F9F"/>
    <w:rsid w:val="00D77FC3"/>
    <w:rsid w:val="00D80C0D"/>
    <w:rsid w:val="00D82D3F"/>
    <w:rsid w:val="00D83401"/>
    <w:rsid w:val="00D840BE"/>
    <w:rsid w:val="00D8423D"/>
    <w:rsid w:val="00D84BA9"/>
    <w:rsid w:val="00D8568D"/>
    <w:rsid w:val="00D8621D"/>
    <w:rsid w:val="00D8637B"/>
    <w:rsid w:val="00D876F8"/>
    <w:rsid w:val="00D87C06"/>
    <w:rsid w:val="00D90093"/>
    <w:rsid w:val="00D90585"/>
    <w:rsid w:val="00D90AEC"/>
    <w:rsid w:val="00D91825"/>
    <w:rsid w:val="00D91D5E"/>
    <w:rsid w:val="00D927E8"/>
    <w:rsid w:val="00D92ACB"/>
    <w:rsid w:val="00D92B86"/>
    <w:rsid w:val="00D9353A"/>
    <w:rsid w:val="00D93C3C"/>
    <w:rsid w:val="00D95622"/>
    <w:rsid w:val="00D975FD"/>
    <w:rsid w:val="00D97777"/>
    <w:rsid w:val="00DA25C2"/>
    <w:rsid w:val="00DA297E"/>
    <w:rsid w:val="00DA3597"/>
    <w:rsid w:val="00DA409E"/>
    <w:rsid w:val="00DA49A7"/>
    <w:rsid w:val="00DA4C97"/>
    <w:rsid w:val="00DA57D5"/>
    <w:rsid w:val="00DA6128"/>
    <w:rsid w:val="00DA6149"/>
    <w:rsid w:val="00DA6A80"/>
    <w:rsid w:val="00DB1001"/>
    <w:rsid w:val="00DB121E"/>
    <w:rsid w:val="00DB1A4D"/>
    <w:rsid w:val="00DB2906"/>
    <w:rsid w:val="00DB3437"/>
    <w:rsid w:val="00DB37ED"/>
    <w:rsid w:val="00DB4698"/>
    <w:rsid w:val="00DB4AC0"/>
    <w:rsid w:val="00DB675D"/>
    <w:rsid w:val="00DB6D1E"/>
    <w:rsid w:val="00DB7291"/>
    <w:rsid w:val="00DB7C41"/>
    <w:rsid w:val="00DC3142"/>
    <w:rsid w:val="00DC3775"/>
    <w:rsid w:val="00DC504F"/>
    <w:rsid w:val="00DC5380"/>
    <w:rsid w:val="00DC54E1"/>
    <w:rsid w:val="00DC6465"/>
    <w:rsid w:val="00DC64B4"/>
    <w:rsid w:val="00DC6616"/>
    <w:rsid w:val="00DC69FA"/>
    <w:rsid w:val="00DC6B09"/>
    <w:rsid w:val="00DC6E98"/>
    <w:rsid w:val="00DD06B8"/>
    <w:rsid w:val="00DD0A40"/>
    <w:rsid w:val="00DD0B9D"/>
    <w:rsid w:val="00DD0F88"/>
    <w:rsid w:val="00DD1A43"/>
    <w:rsid w:val="00DD289D"/>
    <w:rsid w:val="00DD3CF5"/>
    <w:rsid w:val="00DD48B1"/>
    <w:rsid w:val="00DD5DA4"/>
    <w:rsid w:val="00DD64E7"/>
    <w:rsid w:val="00DD715A"/>
    <w:rsid w:val="00DD7773"/>
    <w:rsid w:val="00DE07DD"/>
    <w:rsid w:val="00DE1047"/>
    <w:rsid w:val="00DE13C1"/>
    <w:rsid w:val="00DE1BB8"/>
    <w:rsid w:val="00DE2937"/>
    <w:rsid w:val="00DE2C67"/>
    <w:rsid w:val="00DE3D13"/>
    <w:rsid w:val="00DE4675"/>
    <w:rsid w:val="00DE56EC"/>
    <w:rsid w:val="00DE5725"/>
    <w:rsid w:val="00DE79E5"/>
    <w:rsid w:val="00DE7E68"/>
    <w:rsid w:val="00DF066B"/>
    <w:rsid w:val="00DF098C"/>
    <w:rsid w:val="00DF09B0"/>
    <w:rsid w:val="00DF10CC"/>
    <w:rsid w:val="00DF2C1E"/>
    <w:rsid w:val="00DF307D"/>
    <w:rsid w:val="00DF5E26"/>
    <w:rsid w:val="00DF65E1"/>
    <w:rsid w:val="00DF77C1"/>
    <w:rsid w:val="00DF77D6"/>
    <w:rsid w:val="00E002EE"/>
    <w:rsid w:val="00E00632"/>
    <w:rsid w:val="00E008BC"/>
    <w:rsid w:val="00E01076"/>
    <w:rsid w:val="00E018C5"/>
    <w:rsid w:val="00E01BB2"/>
    <w:rsid w:val="00E023D0"/>
    <w:rsid w:val="00E0265D"/>
    <w:rsid w:val="00E03B99"/>
    <w:rsid w:val="00E04F04"/>
    <w:rsid w:val="00E05231"/>
    <w:rsid w:val="00E06134"/>
    <w:rsid w:val="00E06E21"/>
    <w:rsid w:val="00E06EF0"/>
    <w:rsid w:val="00E1009E"/>
    <w:rsid w:val="00E108EA"/>
    <w:rsid w:val="00E10BCE"/>
    <w:rsid w:val="00E10F73"/>
    <w:rsid w:val="00E11694"/>
    <w:rsid w:val="00E117DA"/>
    <w:rsid w:val="00E11A6A"/>
    <w:rsid w:val="00E11AAC"/>
    <w:rsid w:val="00E11CC4"/>
    <w:rsid w:val="00E14A1C"/>
    <w:rsid w:val="00E14E48"/>
    <w:rsid w:val="00E2045E"/>
    <w:rsid w:val="00E20A17"/>
    <w:rsid w:val="00E2143C"/>
    <w:rsid w:val="00E21511"/>
    <w:rsid w:val="00E21DB7"/>
    <w:rsid w:val="00E221F5"/>
    <w:rsid w:val="00E22996"/>
    <w:rsid w:val="00E229FC"/>
    <w:rsid w:val="00E22B7C"/>
    <w:rsid w:val="00E23A34"/>
    <w:rsid w:val="00E23E21"/>
    <w:rsid w:val="00E25A4F"/>
    <w:rsid w:val="00E26832"/>
    <w:rsid w:val="00E269E9"/>
    <w:rsid w:val="00E26AD6"/>
    <w:rsid w:val="00E272CB"/>
    <w:rsid w:val="00E27696"/>
    <w:rsid w:val="00E27E30"/>
    <w:rsid w:val="00E30847"/>
    <w:rsid w:val="00E30935"/>
    <w:rsid w:val="00E30E65"/>
    <w:rsid w:val="00E310F8"/>
    <w:rsid w:val="00E3113A"/>
    <w:rsid w:val="00E31ACF"/>
    <w:rsid w:val="00E31B38"/>
    <w:rsid w:val="00E32AED"/>
    <w:rsid w:val="00E340EA"/>
    <w:rsid w:val="00E34E38"/>
    <w:rsid w:val="00E35C2F"/>
    <w:rsid w:val="00E36219"/>
    <w:rsid w:val="00E364C1"/>
    <w:rsid w:val="00E36558"/>
    <w:rsid w:val="00E366FC"/>
    <w:rsid w:val="00E36C70"/>
    <w:rsid w:val="00E40478"/>
    <w:rsid w:val="00E4102F"/>
    <w:rsid w:val="00E419A0"/>
    <w:rsid w:val="00E41B5F"/>
    <w:rsid w:val="00E42A7E"/>
    <w:rsid w:val="00E43CB2"/>
    <w:rsid w:val="00E4467D"/>
    <w:rsid w:val="00E44D94"/>
    <w:rsid w:val="00E45B5D"/>
    <w:rsid w:val="00E46023"/>
    <w:rsid w:val="00E46C52"/>
    <w:rsid w:val="00E46C5D"/>
    <w:rsid w:val="00E46D9F"/>
    <w:rsid w:val="00E47403"/>
    <w:rsid w:val="00E51422"/>
    <w:rsid w:val="00E5240E"/>
    <w:rsid w:val="00E52A9E"/>
    <w:rsid w:val="00E52BA9"/>
    <w:rsid w:val="00E53BA4"/>
    <w:rsid w:val="00E54160"/>
    <w:rsid w:val="00E5418B"/>
    <w:rsid w:val="00E55530"/>
    <w:rsid w:val="00E557E3"/>
    <w:rsid w:val="00E56824"/>
    <w:rsid w:val="00E57FE5"/>
    <w:rsid w:val="00E606D0"/>
    <w:rsid w:val="00E62175"/>
    <w:rsid w:val="00E621FD"/>
    <w:rsid w:val="00E622A3"/>
    <w:rsid w:val="00E62B2D"/>
    <w:rsid w:val="00E63CB8"/>
    <w:rsid w:val="00E63F58"/>
    <w:rsid w:val="00E648F9"/>
    <w:rsid w:val="00E66768"/>
    <w:rsid w:val="00E6685E"/>
    <w:rsid w:val="00E66ED2"/>
    <w:rsid w:val="00E67132"/>
    <w:rsid w:val="00E6721C"/>
    <w:rsid w:val="00E679F1"/>
    <w:rsid w:val="00E70437"/>
    <w:rsid w:val="00E713B8"/>
    <w:rsid w:val="00E73140"/>
    <w:rsid w:val="00E73370"/>
    <w:rsid w:val="00E735DA"/>
    <w:rsid w:val="00E744CE"/>
    <w:rsid w:val="00E74585"/>
    <w:rsid w:val="00E75B65"/>
    <w:rsid w:val="00E765C5"/>
    <w:rsid w:val="00E76B09"/>
    <w:rsid w:val="00E77467"/>
    <w:rsid w:val="00E77BBB"/>
    <w:rsid w:val="00E81BBE"/>
    <w:rsid w:val="00E81E05"/>
    <w:rsid w:val="00E82B0F"/>
    <w:rsid w:val="00E84432"/>
    <w:rsid w:val="00E84A1A"/>
    <w:rsid w:val="00E85012"/>
    <w:rsid w:val="00E87163"/>
    <w:rsid w:val="00E87486"/>
    <w:rsid w:val="00E8759C"/>
    <w:rsid w:val="00E87BF6"/>
    <w:rsid w:val="00E87CA8"/>
    <w:rsid w:val="00E918F1"/>
    <w:rsid w:val="00E91AAF"/>
    <w:rsid w:val="00E92776"/>
    <w:rsid w:val="00E92E3E"/>
    <w:rsid w:val="00E931DE"/>
    <w:rsid w:val="00E93A6A"/>
    <w:rsid w:val="00E94381"/>
    <w:rsid w:val="00E94535"/>
    <w:rsid w:val="00E95C9E"/>
    <w:rsid w:val="00EA0754"/>
    <w:rsid w:val="00EA0996"/>
    <w:rsid w:val="00EA0BFF"/>
    <w:rsid w:val="00EA1CBC"/>
    <w:rsid w:val="00EA1DAA"/>
    <w:rsid w:val="00EA3163"/>
    <w:rsid w:val="00EA38BF"/>
    <w:rsid w:val="00EA4170"/>
    <w:rsid w:val="00EA6676"/>
    <w:rsid w:val="00EA672D"/>
    <w:rsid w:val="00EB0A5A"/>
    <w:rsid w:val="00EB0A74"/>
    <w:rsid w:val="00EB129B"/>
    <w:rsid w:val="00EB1DC5"/>
    <w:rsid w:val="00EB202B"/>
    <w:rsid w:val="00EB2C7C"/>
    <w:rsid w:val="00EB3455"/>
    <w:rsid w:val="00EB34AF"/>
    <w:rsid w:val="00EB3D51"/>
    <w:rsid w:val="00EB3FF0"/>
    <w:rsid w:val="00EB4432"/>
    <w:rsid w:val="00EB4802"/>
    <w:rsid w:val="00EB498F"/>
    <w:rsid w:val="00EB4EB2"/>
    <w:rsid w:val="00EB5425"/>
    <w:rsid w:val="00EB6104"/>
    <w:rsid w:val="00EB6D1B"/>
    <w:rsid w:val="00EB7FF0"/>
    <w:rsid w:val="00EC03AE"/>
    <w:rsid w:val="00EC04A9"/>
    <w:rsid w:val="00EC04BD"/>
    <w:rsid w:val="00EC2C5C"/>
    <w:rsid w:val="00EC4EEB"/>
    <w:rsid w:val="00EC68F9"/>
    <w:rsid w:val="00EC6DC8"/>
    <w:rsid w:val="00EC72EA"/>
    <w:rsid w:val="00EC7CE5"/>
    <w:rsid w:val="00EC7F10"/>
    <w:rsid w:val="00ED0395"/>
    <w:rsid w:val="00ED0BB3"/>
    <w:rsid w:val="00ED3013"/>
    <w:rsid w:val="00ED32BE"/>
    <w:rsid w:val="00ED4F19"/>
    <w:rsid w:val="00ED534F"/>
    <w:rsid w:val="00ED5BFF"/>
    <w:rsid w:val="00ED64AE"/>
    <w:rsid w:val="00ED7918"/>
    <w:rsid w:val="00ED7D44"/>
    <w:rsid w:val="00EE09FD"/>
    <w:rsid w:val="00EE1979"/>
    <w:rsid w:val="00EE2490"/>
    <w:rsid w:val="00EE3C7A"/>
    <w:rsid w:val="00EE659B"/>
    <w:rsid w:val="00EE6995"/>
    <w:rsid w:val="00EE6ED8"/>
    <w:rsid w:val="00EE7A14"/>
    <w:rsid w:val="00EF1A88"/>
    <w:rsid w:val="00EF1B02"/>
    <w:rsid w:val="00EF1B46"/>
    <w:rsid w:val="00EF2E35"/>
    <w:rsid w:val="00EF2EF1"/>
    <w:rsid w:val="00EF4650"/>
    <w:rsid w:val="00EF4679"/>
    <w:rsid w:val="00EF4A0E"/>
    <w:rsid w:val="00EF4A9C"/>
    <w:rsid w:val="00EF6696"/>
    <w:rsid w:val="00EF6D70"/>
    <w:rsid w:val="00EF7FB5"/>
    <w:rsid w:val="00EF7FFC"/>
    <w:rsid w:val="00F00BA0"/>
    <w:rsid w:val="00F017F9"/>
    <w:rsid w:val="00F0221F"/>
    <w:rsid w:val="00F02B08"/>
    <w:rsid w:val="00F03E20"/>
    <w:rsid w:val="00F04C76"/>
    <w:rsid w:val="00F052F3"/>
    <w:rsid w:val="00F06789"/>
    <w:rsid w:val="00F1085D"/>
    <w:rsid w:val="00F11A9E"/>
    <w:rsid w:val="00F11E97"/>
    <w:rsid w:val="00F12130"/>
    <w:rsid w:val="00F126DA"/>
    <w:rsid w:val="00F12CA4"/>
    <w:rsid w:val="00F14B29"/>
    <w:rsid w:val="00F1526C"/>
    <w:rsid w:val="00F152C7"/>
    <w:rsid w:val="00F15ED7"/>
    <w:rsid w:val="00F205DB"/>
    <w:rsid w:val="00F20F03"/>
    <w:rsid w:val="00F228B3"/>
    <w:rsid w:val="00F24028"/>
    <w:rsid w:val="00F24C6F"/>
    <w:rsid w:val="00F25C9C"/>
    <w:rsid w:val="00F2654C"/>
    <w:rsid w:val="00F26EF0"/>
    <w:rsid w:val="00F27540"/>
    <w:rsid w:val="00F3006C"/>
    <w:rsid w:val="00F30105"/>
    <w:rsid w:val="00F303B8"/>
    <w:rsid w:val="00F32708"/>
    <w:rsid w:val="00F32908"/>
    <w:rsid w:val="00F32C15"/>
    <w:rsid w:val="00F33A23"/>
    <w:rsid w:val="00F345BF"/>
    <w:rsid w:val="00F34693"/>
    <w:rsid w:val="00F35E31"/>
    <w:rsid w:val="00F360B2"/>
    <w:rsid w:val="00F3670B"/>
    <w:rsid w:val="00F408EF"/>
    <w:rsid w:val="00F419A1"/>
    <w:rsid w:val="00F425AF"/>
    <w:rsid w:val="00F42DF6"/>
    <w:rsid w:val="00F43139"/>
    <w:rsid w:val="00F435D8"/>
    <w:rsid w:val="00F446E6"/>
    <w:rsid w:val="00F44F53"/>
    <w:rsid w:val="00F45348"/>
    <w:rsid w:val="00F45665"/>
    <w:rsid w:val="00F45BDC"/>
    <w:rsid w:val="00F4611E"/>
    <w:rsid w:val="00F461F5"/>
    <w:rsid w:val="00F46AA4"/>
    <w:rsid w:val="00F46F3C"/>
    <w:rsid w:val="00F47051"/>
    <w:rsid w:val="00F47DFA"/>
    <w:rsid w:val="00F52429"/>
    <w:rsid w:val="00F53924"/>
    <w:rsid w:val="00F54084"/>
    <w:rsid w:val="00F547BD"/>
    <w:rsid w:val="00F5564F"/>
    <w:rsid w:val="00F556A3"/>
    <w:rsid w:val="00F55E0E"/>
    <w:rsid w:val="00F56710"/>
    <w:rsid w:val="00F56D82"/>
    <w:rsid w:val="00F57791"/>
    <w:rsid w:val="00F617FA"/>
    <w:rsid w:val="00F62101"/>
    <w:rsid w:val="00F62799"/>
    <w:rsid w:val="00F62EE4"/>
    <w:rsid w:val="00F6482D"/>
    <w:rsid w:val="00F656EE"/>
    <w:rsid w:val="00F6604E"/>
    <w:rsid w:val="00F67A09"/>
    <w:rsid w:val="00F7253D"/>
    <w:rsid w:val="00F73340"/>
    <w:rsid w:val="00F736DD"/>
    <w:rsid w:val="00F736F7"/>
    <w:rsid w:val="00F73C4D"/>
    <w:rsid w:val="00F7459A"/>
    <w:rsid w:val="00F74687"/>
    <w:rsid w:val="00F74F2A"/>
    <w:rsid w:val="00F7525B"/>
    <w:rsid w:val="00F755AE"/>
    <w:rsid w:val="00F75CAA"/>
    <w:rsid w:val="00F7606A"/>
    <w:rsid w:val="00F774F2"/>
    <w:rsid w:val="00F778A0"/>
    <w:rsid w:val="00F80692"/>
    <w:rsid w:val="00F8071B"/>
    <w:rsid w:val="00F81D00"/>
    <w:rsid w:val="00F81FD0"/>
    <w:rsid w:val="00F82072"/>
    <w:rsid w:val="00F829B1"/>
    <w:rsid w:val="00F8521D"/>
    <w:rsid w:val="00F85C14"/>
    <w:rsid w:val="00F875EA"/>
    <w:rsid w:val="00F90174"/>
    <w:rsid w:val="00F90267"/>
    <w:rsid w:val="00F90BBB"/>
    <w:rsid w:val="00F91BC3"/>
    <w:rsid w:val="00F920A1"/>
    <w:rsid w:val="00F922E7"/>
    <w:rsid w:val="00F9309C"/>
    <w:rsid w:val="00F93BD1"/>
    <w:rsid w:val="00F945F2"/>
    <w:rsid w:val="00F9468F"/>
    <w:rsid w:val="00F94754"/>
    <w:rsid w:val="00F94D7A"/>
    <w:rsid w:val="00F951ED"/>
    <w:rsid w:val="00F95643"/>
    <w:rsid w:val="00F96862"/>
    <w:rsid w:val="00F96D05"/>
    <w:rsid w:val="00F97A8B"/>
    <w:rsid w:val="00FA011C"/>
    <w:rsid w:val="00FA085B"/>
    <w:rsid w:val="00FA13D8"/>
    <w:rsid w:val="00FA1CE8"/>
    <w:rsid w:val="00FA2810"/>
    <w:rsid w:val="00FA297C"/>
    <w:rsid w:val="00FA3207"/>
    <w:rsid w:val="00FA3AF2"/>
    <w:rsid w:val="00FA4246"/>
    <w:rsid w:val="00FA45CC"/>
    <w:rsid w:val="00FA4872"/>
    <w:rsid w:val="00FA5BA3"/>
    <w:rsid w:val="00FA5FD7"/>
    <w:rsid w:val="00FA62A2"/>
    <w:rsid w:val="00FA6728"/>
    <w:rsid w:val="00FA6A6C"/>
    <w:rsid w:val="00FB0519"/>
    <w:rsid w:val="00FB0EC7"/>
    <w:rsid w:val="00FB2221"/>
    <w:rsid w:val="00FB2470"/>
    <w:rsid w:val="00FB2E79"/>
    <w:rsid w:val="00FB3E95"/>
    <w:rsid w:val="00FB4541"/>
    <w:rsid w:val="00FB5341"/>
    <w:rsid w:val="00FB65FD"/>
    <w:rsid w:val="00FB6B3B"/>
    <w:rsid w:val="00FB760A"/>
    <w:rsid w:val="00FC0159"/>
    <w:rsid w:val="00FC0E65"/>
    <w:rsid w:val="00FC226C"/>
    <w:rsid w:val="00FC27CD"/>
    <w:rsid w:val="00FC3277"/>
    <w:rsid w:val="00FC3605"/>
    <w:rsid w:val="00FC3EAC"/>
    <w:rsid w:val="00FC4F7B"/>
    <w:rsid w:val="00FC51B8"/>
    <w:rsid w:val="00FC5938"/>
    <w:rsid w:val="00FC5A15"/>
    <w:rsid w:val="00FC5B9D"/>
    <w:rsid w:val="00FC67E6"/>
    <w:rsid w:val="00FD0067"/>
    <w:rsid w:val="00FD1190"/>
    <w:rsid w:val="00FD1FD6"/>
    <w:rsid w:val="00FD3AF8"/>
    <w:rsid w:val="00FD461C"/>
    <w:rsid w:val="00FD4F79"/>
    <w:rsid w:val="00FD5952"/>
    <w:rsid w:val="00FD5B97"/>
    <w:rsid w:val="00FD5ED3"/>
    <w:rsid w:val="00FD5F8D"/>
    <w:rsid w:val="00FD66EE"/>
    <w:rsid w:val="00FD671D"/>
    <w:rsid w:val="00FD68C3"/>
    <w:rsid w:val="00FD6DC5"/>
    <w:rsid w:val="00FD7153"/>
    <w:rsid w:val="00FD7156"/>
    <w:rsid w:val="00FD7514"/>
    <w:rsid w:val="00FE16C9"/>
    <w:rsid w:val="00FE2D00"/>
    <w:rsid w:val="00FE3AF6"/>
    <w:rsid w:val="00FE4170"/>
    <w:rsid w:val="00FE74C9"/>
    <w:rsid w:val="00FE7AFF"/>
    <w:rsid w:val="00FF0375"/>
    <w:rsid w:val="00FF07B3"/>
    <w:rsid w:val="00FF0AFF"/>
    <w:rsid w:val="00FF16D5"/>
    <w:rsid w:val="00FF1786"/>
    <w:rsid w:val="00FF1D83"/>
    <w:rsid w:val="00FF1DC1"/>
    <w:rsid w:val="00FF30A6"/>
    <w:rsid w:val="00FF3CC5"/>
    <w:rsid w:val="00FF5540"/>
    <w:rsid w:val="00FF7D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5F789D93"/>
  <w14:defaultImageDpi w14:val="300"/>
  <w15:docId w15:val="{83790B56-8467-3A44-A060-2BCBC330E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3098"/>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OpenSymbol"/>
    </w:rPr>
  </w:style>
  <w:style w:type="character" w:customStyle="1" w:styleId="WW8Num1z1">
    <w:name w:val="WW8Num1z1"/>
    <w:rPr>
      <w:rFonts w:ascii="OpenSymbol" w:hAnsi="OpenSymbol" w:cs="OpenSymbol"/>
    </w:rPr>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ListLabel1">
    <w:name w:val="ListLabel 1"/>
    <w:rPr>
      <w:rFonts w:cs="OpenSymbol"/>
    </w:rPr>
  </w:style>
  <w:style w:type="paragraph" w:customStyle="1" w:styleId="Heading">
    <w:name w:val="Heading"/>
    <w:basedOn w:val="Normal"/>
    <w:next w:val="BodyText"/>
    <w:pPr>
      <w:keepNext/>
      <w:widowControl w:val="0"/>
      <w:tabs>
        <w:tab w:val="left" w:pos="432"/>
      </w:tabs>
      <w:suppressAutoHyphens/>
      <w:spacing w:before="240" w:after="120"/>
    </w:pPr>
    <w:rPr>
      <w:szCs w:val="20"/>
      <w:lang w:eastAsia="en-US"/>
    </w:rPr>
  </w:style>
  <w:style w:type="paragraph" w:styleId="BodyText">
    <w:name w:val="Body Text"/>
    <w:basedOn w:val="Normal"/>
    <w:pPr>
      <w:widowControl w:val="0"/>
      <w:tabs>
        <w:tab w:val="left" w:pos="432"/>
      </w:tabs>
      <w:suppressAutoHyphens/>
      <w:spacing w:after="120"/>
    </w:pPr>
    <w:rPr>
      <w:szCs w:val="20"/>
      <w:lang w:eastAsia="en-US"/>
    </w:rPr>
  </w:style>
  <w:style w:type="paragraph" w:styleId="List">
    <w:name w:val="List"/>
    <w:basedOn w:val="BodyText"/>
    <w:rPr>
      <w:rFonts w:ascii="Calibri" w:hAnsi="Calibri" w:cs="Calibri"/>
    </w:rPr>
  </w:style>
  <w:style w:type="paragraph" w:styleId="Caption">
    <w:name w:val="caption"/>
    <w:basedOn w:val="Normal"/>
    <w:qFormat/>
    <w:pPr>
      <w:widowControl w:val="0"/>
      <w:suppressLineNumbers/>
      <w:tabs>
        <w:tab w:val="left" w:pos="432"/>
      </w:tabs>
      <w:suppressAutoHyphens/>
      <w:spacing w:before="120" w:after="120"/>
    </w:pPr>
    <w:rPr>
      <w:szCs w:val="20"/>
      <w:lang w:eastAsia="en-US"/>
    </w:rPr>
  </w:style>
  <w:style w:type="paragraph" w:customStyle="1" w:styleId="Index">
    <w:name w:val="Index"/>
    <w:basedOn w:val="Normal"/>
    <w:pPr>
      <w:widowControl w:val="0"/>
      <w:suppressLineNumbers/>
      <w:tabs>
        <w:tab w:val="left" w:pos="432"/>
      </w:tabs>
      <w:suppressAutoHyphens/>
    </w:pPr>
    <w:rPr>
      <w:rFonts w:ascii="Calibri" w:hAnsi="Calibri" w:cs="Calibri"/>
      <w:szCs w:val="20"/>
      <w:lang w:eastAsia="en-US"/>
    </w:rPr>
  </w:style>
  <w:style w:type="paragraph" w:customStyle="1" w:styleId="Caption1">
    <w:name w:val="Caption1"/>
    <w:basedOn w:val="Normal"/>
    <w:pPr>
      <w:widowControl w:val="0"/>
      <w:suppressLineNumbers/>
      <w:tabs>
        <w:tab w:val="left" w:pos="432"/>
      </w:tabs>
      <w:suppressAutoHyphens/>
      <w:spacing w:before="120" w:after="120"/>
    </w:pPr>
    <w:rPr>
      <w:szCs w:val="20"/>
      <w:lang w:eastAsia="en-US"/>
    </w:rPr>
  </w:style>
  <w:style w:type="paragraph" w:styleId="ListParagraph">
    <w:name w:val="List Paragraph"/>
    <w:basedOn w:val="Normal"/>
    <w:uiPriority w:val="34"/>
    <w:qFormat/>
    <w:rsid w:val="0022094C"/>
    <w:pPr>
      <w:widowControl w:val="0"/>
      <w:tabs>
        <w:tab w:val="left" w:pos="432"/>
      </w:tabs>
      <w:suppressAutoHyphens/>
      <w:ind w:left="720"/>
      <w:contextualSpacing/>
    </w:pPr>
    <w:rPr>
      <w:szCs w:val="20"/>
      <w:lang w:eastAsia="en-US"/>
    </w:rPr>
  </w:style>
  <w:style w:type="paragraph" w:customStyle="1" w:styleId="NormalText">
    <w:name w:val="Normal Text"/>
    <w:rsid w:val="00C60EA3"/>
    <w:pPr>
      <w:widowControl w:val="0"/>
      <w:autoSpaceDE w:val="0"/>
      <w:autoSpaceDN w:val="0"/>
      <w:adjustRightInd w:val="0"/>
    </w:pPr>
    <w:rPr>
      <w:rFonts w:ascii="Palatino Linotype" w:hAnsi="Palatino Linotype" w:cs="Palatino Linotype"/>
      <w:color w:val="000000"/>
    </w:rPr>
  </w:style>
  <w:style w:type="numbering" w:customStyle="1" w:styleId="Joe">
    <w:name w:val="Joe"/>
    <w:uiPriority w:val="99"/>
    <w:rsid w:val="005A784A"/>
    <w:pPr>
      <w:numPr>
        <w:numId w:val="1"/>
      </w:numPr>
    </w:pPr>
  </w:style>
  <w:style w:type="paragraph" w:customStyle="1" w:styleId="Normal1">
    <w:name w:val="Normal1"/>
    <w:rsid w:val="00EF4A0E"/>
    <w:pPr>
      <w:spacing w:after="200" w:line="276" w:lineRule="auto"/>
    </w:pPr>
    <w:rPr>
      <w:color w:val="000000"/>
    </w:rPr>
  </w:style>
  <w:style w:type="paragraph" w:customStyle="1" w:styleId="Normal2">
    <w:name w:val="Normal2"/>
    <w:rsid w:val="0092631F"/>
    <w:pPr>
      <w:spacing w:after="200" w:line="276" w:lineRule="auto"/>
    </w:pPr>
    <w:rPr>
      <w:color w:val="000000"/>
    </w:rPr>
  </w:style>
  <w:style w:type="character" w:styleId="Hyperlink">
    <w:name w:val="Hyperlink"/>
    <w:basedOn w:val="DefaultParagraphFont"/>
    <w:uiPriority w:val="99"/>
    <w:unhideWhenUsed/>
    <w:rsid w:val="00DA25C2"/>
    <w:rPr>
      <w:color w:val="0000FF" w:themeColor="hyperlink"/>
      <w:u w:val="single"/>
    </w:rPr>
  </w:style>
  <w:style w:type="character" w:styleId="FollowedHyperlink">
    <w:name w:val="FollowedHyperlink"/>
    <w:basedOn w:val="DefaultParagraphFont"/>
    <w:uiPriority w:val="99"/>
    <w:semiHidden/>
    <w:unhideWhenUsed/>
    <w:rsid w:val="00130AB0"/>
    <w:rPr>
      <w:color w:val="800080" w:themeColor="followedHyperlink"/>
      <w:u w:val="single"/>
    </w:rPr>
  </w:style>
  <w:style w:type="paragraph" w:customStyle="1" w:styleId="Style1">
    <w:name w:val="Style1"/>
    <w:basedOn w:val="Normal2"/>
    <w:qFormat/>
    <w:rsid w:val="00A82AD5"/>
    <w:pPr>
      <w:spacing w:after="0" w:line="240" w:lineRule="auto"/>
    </w:pPr>
    <w:rPr>
      <w:sz w:val="24"/>
      <w:szCs w:val="24"/>
    </w:rPr>
  </w:style>
  <w:style w:type="paragraph" w:styleId="ListBullet">
    <w:name w:val="List Bullet"/>
    <w:basedOn w:val="Normal"/>
    <w:uiPriority w:val="99"/>
    <w:unhideWhenUsed/>
    <w:rsid w:val="007B2B61"/>
    <w:pPr>
      <w:widowControl w:val="0"/>
      <w:numPr>
        <w:numId w:val="2"/>
      </w:numPr>
      <w:tabs>
        <w:tab w:val="left" w:pos="432"/>
      </w:tabs>
      <w:suppressAutoHyphens/>
      <w:contextualSpacing/>
    </w:pPr>
    <w:rPr>
      <w:szCs w:val="20"/>
      <w:lang w:eastAsia="en-US"/>
    </w:rPr>
  </w:style>
  <w:style w:type="character" w:styleId="UnresolvedMention">
    <w:name w:val="Unresolved Mention"/>
    <w:basedOn w:val="DefaultParagraphFont"/>
    <w:uiPriority w:val="99"/>
    <w:semiHidden/>
    <w:unhideWhenUsed/>
    <w:rsid w:val="0001190A"/>
    <w:rPr>
      <w:color w:val="605E5C"/>
      <w:shd w:val="clear" w:color="auto" w:fill="E1DFDD"/>
    </w:rPr>
  </w:style>
  <w:style w:type="paragraph" w:styleId="Header">
    <w:name w:val="header"/>
    <w:basedOn w:val="Normal"/>
    <w:link w:val="HeaderChar"/>
    <w:uiPriority w:val="99"/>
    <w:unhideWhenUsed/>
    <w:rsid w:val="00855F5F"/>
    <w:pPr>
      <w:tabs>
        <w:tab w:val="center" w:pos="4680"/>
        <w:tab w:val="right" w:pos="9360"/>
      </w:tabs>
    </w:pPr>
  </w:style>
  <w:style w:type="character" w:customStyle="1" w:styleId="HeaderChar">
    <w:name w:val="Header Char"/>
    <w:basedOn w:val="DefaultParagraphFont"/>
    <w:link w:val="Header"/>
    <w:uiPriority w:val="99"/>
    <w:rsid w:val="00855F5F"/>
    <w:rPr>
      <w:sz w:val="24"/>
      <w:szCs w:val="24"/>
      <w:lang w:eastAsia="zh-CN"/>
    </w:rPr>
  </w:style>
  <w:style w:type="paragraph" w:styleId="Footer">
    <w:name w:val="footer"/>
    <w:basedOn w:val="Normal"/>
    <w:link w:val="FooterChar"/>
    <w:uiPriority w:val="99"/>
    <w:unhideWhenUsed/>
    <w:rsid w:val="00855F5F"/>
    <w:pPr>
      <w:tabs>
        <w:tab w:val="center" w:pos="4680"/>
        <w:tab w:val="right" w:pos="9360"/>
      </w:tabs>
    </w:pPr>
  </w:style>
  <w:style w:type="character" w:customStyle="1" w:styleId="FooterChar">
    <w:name w:val="Footer Char"/>
    <w:basedOn w:val="DefaultParagraphFont"/>
    <w:link w:val="Footer"/>
    <w:uiPriority w:val="99"/>
    <w:rsid w:val="00855F5F"/>
    <w:rPr>
      <w:sz w:val="24"/>
      <w:szCs w:val="24"/>
      <w:lang w:eastAsia="zh-CN"/>
    </w:rPr>
  </w:style>
  <w:style w:type="character" w:styleId="PageNumber">
    <w:name w:val="page number"/>
    <w:basedOn w:val="DefaultParagraphFont"/>
    <w:uiPriority w:val="99"/>
    <w:semiHidden/>
    <w:unhideWhenUsed/>
    <w:rsid w:val="00855F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82633">
      <w:bodyDiv w:val="1"/>
      <w:marLeft w:val="0"/>
      <w:marRight w:val="0"/>
      <w:marTop w:val="0"/>
      <w:marBottom w:val="0"/>
      <w:divBdr>
        <w:top w:val="none" w:sz="0" w:space="0" w:color="auto"/>
        <w:left w:val="none" w:sz="0" w:space="0" w:color="auto"/>
        <w:bottom w:val="none" w:sz="0" w:space="0" w:color="auto"/>
        <w:right w:val="none" w:sz="0" w:space="0" w:color="auto"/>
      </w:divBdr>
      <w:divsChild>
        <w:div w:id="1993286515">
          <w:marLeft w:val="446"/>
          <w:marRight w:val="0"/>
          <w:marTop w:val="130"/>
          <w:marBottom w:val="0"/>
          <w:divBdr>
            <w:top w:val="none" w:sz="0" w:space="0" w:color="auto"/>
            <w:left w:val="none" w:sz="0" w:space="0" w:color="auto"/>
            <w:bottom w:val="none" w:sz="0" w:space="0" w:color="auto"/>
            <w:right w:val="none" w:sz="0" w:space="0" w:color="auto"/>
          </w:divBdr>
        </w:div>
        <w:div w:id="1882551758">
          <w:marLeft w:val="446"/>
          <w:marRight w:val="0"/>
          <w:marTop w:val="130"/>
          <w:marBottom w:val="0"/>
          <w:divBdr>
            <w:top w:val="none" w:sz="0" w:space="0" w:color="auto"/>
            <w:left w:val="none" w:sz="0" w:space="0" w:color="auto"/>
            <w:bottom w:val="none" w:sz="0" w:space="0" w:color="auto"/>
            <w:right w:val="none" w:sz="0" w:space="0" w:color="auto"/>
          </w:divBdr>
        </w:div>
        <w:div w:id="2104111714">
          <w:marLeft w:val="446"/>
          <w:marRight w:val="0"/>
          <w:marTop w:val="130"/>
          <w:marBottom w:val="0"/>
          <w:divBdr>
            <w:top w:val="none" w:sz="0" w:space="0" w:color="auto"/>
            <w:left w:val="none" w:sz="0" w:space="0" w:color="auto"/>
            <w:bottom w:val="none" w:sz="0" w:space="0" w:color="auto"/>
            <w:right w:val="none" w:sz="0" w:space="0" w:color="auto"/>
          </w:divBdr>
        </w:div>
        <w:div w:id="537427823">
          <w:marLeft w:val="446"/>
          <w:marRight w:val="0"/>
          <w:marTop w:val="130"/>
          <w:marBottom w:val="0"/>
          <w:divBdr>
            <w:top w:val="none" w:sz="0" w:space="0" w:color="auto"/>
            <w:left w:val="none" w:sz="0" w:space="0" w:color="auto"/>
            <w:bottom w:val="none" w:sz="0" w:space="0" w:color="auto"/>
            <w:right w:val="none" w:sz="0" w:space="0" w:color="auto"/>
          </w:divBdr>
        </w:div>
        <w:div w:id="975331895">
          <w:marLeft w:val="446"/>
          <w:marRight w:val="0"/>
          <w:marTop w:val="130"/>
          <w:marBottom w:val="0"/>
          <w:divBdr>
            <w:top w:val="none" w:sz="0" w:space="0" w:color="auto"/>
            <w:left w:val="none" w:sz="0" w:space="0" w:color="auto"/>
            <w:bottom w:val="none" w:sz="0" w:space="0" w:color="auto"/>
            <w:right w:val="none" w:sz="0" w:space="0" w:color="auto"/>
          </w:divBdr>
        </w:div>
        <w:div w:id="781069475">
          <w:marLeft w:val="446"/>
          <w:marRight w:val="0"/>
          <w:marTop w:val="130"/>
          <w:marBottom w:val="0"/>
          <w:divBdr>
            <w:top w:val="none" w:sz="0" w:space="0" w:color="auto"/>
            <w:left w:val="none" w:sz="0" w:space="0" w:color="auto"/>
            <w:bottom w:val="none" w:sz="0" w:space="0" w:color="auto"/>
            <w:right w:val="none" w:sz="0" w:space="0" w:color="auto"/>
          </w:divBdr>
        </w:div>
        <w:div w:id="1828935262">
          <w:marLeft w:val="446"/>
          <w:marRight w:val="0"/>
          <w:marTop w:val="130"/>
          <w:marBottom w:val="0"/>
          <w:divBdr>
            <w:top w:val="none" w:sz="0" w:space="0" w:color="auto"/>
            <w:left w:val="none" w:sz="0" w:space="0" w:color="auto"/>
            <w:bottom w:val="none" w:sz="0" w:space="0" w:color="auto"/>
            <w:right w:val="none" w:sz="0" w:space="0" w:color="auto"/>
          </w:divBdr>
        </w:div>
      </w:divsChild>
    </w:div>
    <w:div w:id="331766253">
      <w:bodyDiv w:val="1"/>
      <w:marLeft w:val="0"/>
      <w:marRight w:val="0"/>
      <w:marTop w:val="0"/>
      <w:marBottom w:val="0"/>
      <w:divBdr>
        <w:top w:val="none" w:sz="0" w:space="0" w:color="auto"/>
        <w:left w:val="none" w:sz="0" w:space="0" w:color="auto"/>
        <w:bottom w:val="none" w:sz="0" w:space="0" w:color="auto"/>
        <w:right w:val="none" w:sz="0" w:space="0" w:color="auto"/>
      </w:divBdr>
    </w:div>
    <w:div w:id="507209623">
      <w:bodyDiv w:val="1"/>
      <w:marLeft w:val="0"/>
      <w:marRight w:val="0"/>
      <w:marTop w:val="0"/>
      <w:marBottom w:val="0"/>
      <w:divBdr>
        <w:top w:val="none" w:sz="0" w:space="0" w:color="auto"/>
        <w:left w:val="none" w:sz="0" w:space="0" w:color="auto"/>
        <w:bottom w:val="none" w:sz="0" w:space="0" w:color="auto"/>
        <w:right w:val="none" w:sz="0" w:space="0" w:color="auto"/>
      </w:divBdr>
    </w:div>
    <w:div w:id="657147405">
      <w:bodyDiv w:val="1"/>
      <w:marLeft w:val="0"/>
      <w:marRight w:val="0"/>
      <w:marTop w:val="0"/>
      <w:marBottom w:val="0"/>
      <w:divBdr>
        <w:top w:val="none" w:sz="0" w:space="0" w:color="auto"/>
        <w:left w:val="none" w:sz="0" w:space="0" w:color="auto"/>
        <w:bottom w:val="none" w:sz="0" w:space="0" w:color="auto"/>
        <w:right w:val="none" w:sz="0" w:space="0" w:color="auto"/>
      </w:divBdr>
    </w:div>
    <w:div w:id="706029616">
      <w:bodyDiv w:val="1"/>
      <w:marLeft w:val="0"/>
      <w:marRight w:val="0"/>
      <w:marTop w:val="0"/>
      <w:marBottom w:val="0"/>
      <w:divBdr>
        <w:top w:val="none" w:sz="0" w:space="0" w:color="auto"/>
        <w:left w:val="none" w:sz="0" w:space="0" w:color="auto"/>
        <w:bottom w:val="none" w:sz="0" w:space="0" w:color="auto"/>
        <w:right w:val="none" w:sz="0" w:space="0" w:color="auto"/>
      </w:divBdr>
    </w:div>
    <w:div w:id="811869897">
      <w:bodyDiv w:val="1"/>
      <w:marLeft w:val="0"/>
      <w:marRight w:val="0"/>
      <w:marTop w:val="0"/>
      <w:marBottom w:val="0"/>
      <w:divBdr>
        <w:top w:val="none" w:sz="0" w:space="0" w:color="auto"/>
        <w:left w:val="none" w:sz="0" w:space="0" w:color="auto"/>
        <w:bottom w:val="none" w:sz="0" w:space="0" w:color="auto"/>
        <w:right w:val="none" w:sz="0" w:space="0" w:color="auto"/>
      </w:divBdr>
      <w:divsChild>
        <w:div w:id="1493569087">
          <w:marLeft w:val="547"/>
          <w:marRight w:val="0"/>
          <w:marTop w:val="0"/>
          <w:marBottom w:val="120"/>
          <w:divBdr>
            <w:top w:val="none" w:sz="0" w:space="0" w:color="auto"/>
            <w:left w:val="none" w:sz="0" w:space="0" w:color="auto"/>
            <w:bottom w:val="none" w:sz="0" w:space="0" w:color="auto"/>
            <w:right w:val="none" w:sz="0" w:space="0" w:color="auto"/>
          </w:divBdr>
        </w:div>
        <w:div w:id="1181697528">
          <w:marLeft w:val="547"/>
          <w:marRight w:val="0"/>
          <w:marTop w:val="0"/>
          <w:marBottom w:val="120"/>
          <w:divBdr>
            <w:top w:val="none" w:sz="0" w:space="0" w:color="auto"/>
            <w:left w:val="none" w:sz="0" w:space="0" w:color="auto"/>
            <w:bottom w:val="none" w:sz="0" w:space="0" w:color="auto"/>
            <w:right w:val="none" w:sz="0" w:space="0" w:color="auto"/>
          </w:divBdr>
        </w:div>
        <w:div w:id="311953524">
          <w:marLeft w:val="547"/>
          <w:marRight w:val="0"/>
          <w:marTop w:val="0"/>
          <w:marBottom w:val="0"/>
          <w:divBdr>
            <w:top w:val="none" w:sz="0" w:space="0" w:color="auto"/>
            <w:left w:val="none" w:sz="0" w:space="0" w:color="auto"/>
            <w:bottom w:val="none" w:sz="0" w:space="0" w:color="auto"/>
            <w:right w:val="none" w:sz="0" w:space="0" w:color="auto"/>
          </w:divBdr>
        </w:div>
        <w:div w:id="410196371">
          <w:marLeft w:val="1166"/>
          <w:marRight w:val="0"/>
          <w:marTop w:val="0"/>
          <w:marBottom w:val="0"/>
          <w:divBdr>
            <w:top w:val="none" w:sz="0" w:space="0" w:color="auto"/>
            <w:left w:val="none" w:sz="0" w:space="0" w:color="auto"/>
            <w:bottom w:val="none" w:sz="0" w:space="0" w:color="auto"/>
            <w:right w:val="none" w:sz="0" w:space="0" w:color="auto"/>
          </w:divBdr>
        </w:div>
        <w:div w:id="1963150843">
          <w:marLeft w:val="1166"/>
          <w:marRight w:val="0"/>
          <w:marTop w:val="0"/>
          <w:marBottom w:val="120"/>
          <w:divBdr>
            <w:top w:val="none" w:sz="0" w:space="0" w:color="auto"/>
            <w:left w:val="none" w:sz="0" w:space="0" w:color="auto"/>
            <w:bottom w:val="none" w:sz="0" w:space="0" w:color="auto"/>
            <w:right w:val="none" w:sz="0" w:space="0" w:color="auto"/>
          </w:divBdr>
        </w:div>
        <w:div w:id="331567778">
          <w:marLeft w:val="547"/>
          <w:marRight w:val="0"/>
          <w:marTop w:val="0"/>
          <w:marBottom w:val="0"/>
          <w:divBdr>
            <w:top w:val="none" w:sz="0" w:space="0" w:color="auto"/>
            <w:left w:val="none" w:sz="0" w:space="0" w:color="auto"/>
            <w:bottom w:val="none" w:sz="0" w:space="0" w:color="auto"/>
            <w:right w:val="none" w:sz="0" w:space="0" w:color="auto"/>
          </w:divBdr>
        </w:div>
        <w:div w:id="1004088356">
          <w:marLeft w:val="1166"/>
          <w:marRight w:val="0"/>
          <w:marTop w:val="0"/>
          <w:marBottom w:val="120"/>
          <w:divBdr>
            <w:top w:val="none" w:sz="0" w:space="0" w:color="auto"/>
            <w:left w:val="none" w:sz="0" w:space="0" w:color="auto"/>
            <w:bottom w:val="none" w:sz="0" w:space="0" w:color="auto"/>
            <w:right w:val="none" w:sz="0" w:space="0" w:color="auto"/>
          </w:divBdr>
        </w:div>
        <w:div w:id="356009021">
          <w:marLeft w:val="547"/>
          <w:marRight w:val="0"/>
          <w:marTop w:val="0"/>
          <w:marBottom w:val="0"/>
          <w:divBdr>
            <w:top w:val="none" w:sz="0" w:space="0" w:color="auto"/>
            <w:left w:val="none" w:sz="0" w:space="0" w:color="auto"/>
            <w:bottom w:val="none" w:sz="0" w:space="0" w:color="auto"/>
            <w:right w:val="none" w:sz="0" w:space="0" w:color="auto"/>
          </w:divBdr>
        </w:div>
        <w:div w:id="1398551655">
          <w:marLeft w:val="1166"/>
          <w:marRight w:val="0"/>
          <w:marTop w:val="0"/>
          <w:marBottom w:val="0"/>
          <w:divBdr>
            <w:top w:val="none" w:sz="0" w:space="0" w:color="auto"/>
            <w:left w:val="none" w:sz="0" w:space="0" w:color="auto"/>
            <w:bottom w:val="none" w:sz="0" w:space="0" w:color="auto"/>
            <w:right w:val="none" w:sz="0" w:space="0" w:color="auto"/>
          </w:divBdr>
        </w:div>
        <w:div w:id="1746102838">
          <w:marLeft w:val="1166"/>
          <w:marRight w:val="0"/>
          <w:marTop w:val="0"/>
          <w:marBottom w:val="0"/>
          <w:divBdr>
            <w:top w:val="none" w:sz="0" w:space="0" w:color="auto"/>
            <w:left w:val="none" w:sz="0" w:space="0" w:color="auto"/>
            <w:bottom w:val="none" w:sz="0" w:space="0" w:color="auto"/>
            <w:right w:val="none" w:sz="0" w:space="0" w:color="auto"/>
          </w:divBdr>
        </w:div>
      </w:divsChild>
    </w:div>
    <w:div w:id="948003364">
      <w:bodyDiv w:val="1"/>
      <w:marLeft w:val="0"/>
      <w:marRight w:val="0"/>
      <w:marTop w:val="0"/>
      <w:marBottom w:val="0"/>
      <w:divBdr>
        <w:top w:val="none" w:sz="0" w:space="0" w:color="auto"/>
        <w:left w:val="none" w:sz="0" w:space="0" w:color="auto"/>
        <w:bottom w:val="none" w:sz="0" w:space="0" w:color="auto"/>
        <w:right w:val="none" w:sz="0" w:space="0" w:color="auto"/>
      </w:divBdr>
    </w:div>
    <w:div w:id="1245412189">
      <w:bodyDiv w:val="1"/>
      <w:marLeft w:val="0"/>
      <w:marRight w:val="0"/>
      <w:marTop w:val="0"/>
      <w:marBottom w:val="0"/>
      <w:divBdr>
        <w:top w:val="none" w:sz="0" w:space="0" w:color="auto"/>
        <w:left w:val="none" w:sz="0" w:space="0" w:color="auto"/>
        <w:bottom w:val="none" w:sz="0" w:space="0" w:color="auto"/>
        <w:right w:val="none" w:sz="0" w:space="0" w:color="auto"/>
      </w:divBdr>
    </w:div>
    <w:div w:id="1297492501">
      <w:bodyDiv w:val="1"/>
      <w:marLeft w:val="0"/>
      <w:marRight w:val="0"/>
      <w:marTop w:val="0"/>
      <w:marBottom w:val="0"/>
      <w:divBdr>
        <w:top w:val="none" w:sz="0" w:space="0" w:color="auto"/>
        <w:left w:val="none" w:sz="0" w:space="0" w:color="auto"/>
        <w:bottom w:val="none" w:sz="0" w:space="0" w:color="auto"/>
        <w:right w:val="none" w:sz="0" w:space="0" w:color="auto"/>
      </w:divBdr>
    </w:div>
    <w:div w:id="1432160042">
      <w:bodyDiv w:val="1"/>
      <w:marLeft w:val="0"/>
      <w:marRight w:val="0"/>
      <w:marTop w:val="0"/>
      <w:marBottom w:val="0"/>
      <w:divBdr>
        <w:top w:val="none" w:sz="0" w:space="0" w:color="auto"/>
        <w:left w:val="none" w:sz="0" w:space="0" w:color="auto"/>
        <w:bottom w:val="none" w:sz="0" w:space="0" w:color="auto"/>
        <w:right w:val="none" w:sz="0" w:space="0" w:color="auto"/>
      </w:divBdr>
    </w:div>
    <w:div w:id="1570195163">
      <w:bodyDiv w:val="1"/>
      <w:marLeft w:val="0"/>
      <w:marRight w:val="0"/>
      <w:marTop w:val="0"/>
      <w:marBottom w:val="0"/>
      <w:divBdr>
        <w:top w:val="none" w:sz="0" w:space="0" w:color="auto"/>
        <w:left w:val="none" w:sz="0" w:space="0" w:color="auto"/>
        <w:bottom w:val="none" w:sz="0" w:space="0" w:color="auto"/>
        <w:right w:val="none" w:sz="0" w:space="0" w:color="auto"/>
      </w:divBdr>
    </w:div>
    <w:div w:id="1626502094">
      <w:bodyDiv w:val="1"/>
      <w:marLeft w:val="0"/>
      <w:marRight w:val="0"/>
      <w:marTop w:val="0"/>
      <w:marBottom w:val="0"/>
      <w:divBdr>
        <w:top w:val="none" w:sz="0" w:space="0" w:color="auto"/>
        <w:left w:val="none" w:sz="0" w:space="0" w:color="auto"/>
        <w:bottom w:val="none" w:sz="0" w:space="0" w:color="auto"/>
        <w:right w:val="none" w:sz="0" w:space="0" w:color="auto"/>
      </w:divBdr>
    </w:div>
    <w:div w:id="1687097038">
      <w:bodyDiv w:val="1"/>
      <w:marLeft w:val="0"/>
      <w:marRight w:val="0"/>
      <w:marTop w:val="0"/>
      <w:marBottom w:val="0"/>
      <w:divBdr>
        <w:top w:val="none" w:sz="0" w:space="0" w:color="auto"/>
        <w:left w:val="none" w:sz="0" w:space="0" w:color="auto"/>
        <w:bottom w:val="none" w:sz="0" w:space="0" w:color="auto"/>
        <w:right w:val="none" w:sz="0" w:space="0" w:color="auto"/>
      </w:divBdr>
    </w:div>
    <w:div w:id="1723600540">
      <w:bodyDiv w:val="1"/>
      <w:marLeft w:val="0"/>
      <w:marRight w:val="0"/>
      <w:marTop w:val="0"/>
      <w:marBottom w:val="0"/>
      <w:divBdr>
        <w:top w:val="none" w:sz="0" w:space="0" w:color="auto"/>
        <w:left w:val="none" w:sz="0" w:space="0" w:color="auto"/>
        <w:bottom w:val="none" w:sz="0" w:space="0" w:color="auto"/>
        <w:right w:val="none" w:sz="0" w:space="0" w:color="auto"/>
      </w:divBdr>
    </w:div>
    <w:div w:id="1826239518">
      <w:bodyDiv w:val="1"/>
      <w:marLeft w:val="0"/>
      <w:marRight w:val="0"/>
      <w:marTop w:val="0"/>
      <w:marBottom w:val="0"/>
      <w:divBdr>
        <w:top w:val="none" w:sz="0" w:space="0" w:color="auto"/>
        <w:left w:val="none" w:sz="0" w:space="0" w:color="auto"/>
        <w:bottom w:val="none" w:sz="0" w:space="0" w:color="auto"/>
        <w:right w:val="none" w:sz="0" w:space="0" w:color="auto"/>
      </w:divBdr>
    </w:div>
    <w:div w:id="1893349994">
      <w:bodyDiv w:val="1"/>
      <w:marLeft w:val="0"/>
      <w:marRight w:val="0"/>
      <w:marTop w:val="0"/>
      <w:marBottom w:val="0"/>
      <w:divBdr>
        <w:top w:val="none" w:sz="0" w:space="0" w:color="auto"/>
        <w:left w:val="none" w:sz="0" w:space="0" w:color="auto"/>
        <w:bottom w:val="none" w:sz="0" w:space="0" w:color="auto"/>
        <w:right w:val="none" w:sz="0" w:space="0" w:color="auto"/>
      </w:divBdr>
      <w:divsChild>
        <w:div w:id="1469393574">
          <w:marLeft w:val="547"/>
          <w:marRight w:val="0"/>
          <w:marTop w:val="115"/>
          <w:marBottom w:val="0"/>
          <w:divBdr>
            <w:top w:val="none" w:sz="0" w:space="0" w:color="auto"/>
            <w:left w:val="none" w:sz="0" w:space="0" w:color="auto"/>
            <w:bottom w:val="none" w:sz="0" w:space="0" w:color="auto"/>
            <w:right w:val="none" w:sz="0" w:space="0" w:color="auto"/>
          </w:divBdr>
        </w:div>
        <w:div w:id="2041709512">
          <w:marLeft w:val="1166"/>
          <w:marRight w:val="0"/>
          <w:marTop w:val="115"/>
          <w:marBottom w:val="0"/>
          <w:divBdr>
            <w:top w:val="none" w:sz="0" w:space="0" w:color="auto"/>
            <w:left w:val="none" w:sz="0" w:space="0" w:color="auto"/>
            <w:bottom w:val="none" w:sz="0" w:space="0" w:color="auto"/>
            <w:right w:val="none" w:sz="0" w:space="0" w:color="auto"/>
          </w:divBdr>
        </w:div>
        <w:div w:id="1642999599">
          <w:marLeft w:val="1166"/>
          <w:marRight w:val="0"/>
          <w:marTop w:val="115"/>
          <w:marBottom w:val="0"/>
          <w:divBdr>
            <w:top w:val="none" w:sz="0" w:space="0" w:color="auto"/>
            <w:left w:val="none" w:sz="0" w:space="0" w:color="auto"/>
            <w:bottom w:val="none" w:sz="0" w:space="0" w:color="auto"/>
            <w:right w:val="none" w:sz="0" w:space="0" w:color="auto"/>
          </w:divBdr>
        </w:div>
        <w:div w:id="493840099">
          <w:marLeft w:val="547"/>
          <w:marRight w:val="0"/>
          <w:marTop w:val="115"/>
          <w:marBottom w:val="0"/>
          <w:divBdr>
            <w:top w:val="none" w:sz="0" w:space="0" w:color="auto"/>
            <w:left w:val="none" w:sz="0" w:space="0" w:color="auto"/>
            <w:bottom w:val="none" w:sz="0" w:space="0" w:color="auto"/>
            <w:right w:val="none" w:sz="0" w:space="0" w:color="auto"/>
          </w:divBdr>
        </w:div>
        <w:div w:id="2093040848">
          <w:marLeft w:val="1166"/>
          <w:marRight w:val="0"/>
          <w:marTop w:val="115"/>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cepr.org/sites/default/files/policy_insights/PolicyInsight85.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W7Jqwpnw9Lo"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youtube.com/watch?v=QAWtcYOVbWw" TargetMode="External"/><Relationship Id="rId4" Type="http://schemas.openxmlformats.org/officeDocument/2006/relationships/settings" Target="settings.xml"/><Relationship Id="rId9" Type="http://schemas.openxmlformats.org/officeDocument/2006/relationships/hyperlink" Target="https://www.youtube.com/watch?v=QAWtcYOVbWw"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F12DF8-5AC7-8447-9E1D-034A84629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2319</TotalTime>
  <Pages>16</Pages>
  <Words>5329</Words>
  <Characters>30378</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Manager/>
  <Company>Indiana University</Company>
  <LinksUpToDate>false</LinksUpToDate>
  <CharactersWithSpaces>35636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Ryan</dc:creator>
  <cp:keywords/>
  <dc:description/>
  <cp:lastModifiedBy>Ryan Jr, Joseph S</cp:lastModifiedBy>
  <cp:revision>445</cp:revision>
  <cp:lastPrinted>2016-09-27T16:14:00Z</cp:lastPrinted>
  <dcterms:created xsi:type="dcterms:W3CDTF">2020-11-02T20:36:00Z</dcterms:created>
  <dcterms:modified xsi:type="dcterms:W3CDTF">2022-10-09T21:34:00Z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Indiana University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